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36" w:rightFromText="36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55607" w:rsidRPr="00155607" w:rsidTr="00155607">
        <w:trPr>
          <w:trHeight w:val="360"/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155607" w:rsidRPr="00155607" w:rsidRDefault="00155607" w:rsidP="001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15560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t>Національна комісія, що здійснює державне регулювання у сферах енергетики та комунальних послуг</w:t>
            </w:r>
            <w:r w:rsidRPr="001556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560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uk-UA"/>
              </w:rPr>
              <w:t>офіційний веб-сайт</w:t>
            </w:r>
          </w:p>
        </w:tc>
      </w:tr>
      <w:tr w:rsidR="00155607" w:rsidRPr="00155607" w:rsidTr="00155607">
        <w:trPr>
          <w:trHeight w:val="6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55607" w:rsidRPr="00155607" w:rsidRDefault="001B4E3A" w:rsidP="0015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155607" w:rsidRPr="00155607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uk-UA"/>
                </w:rPr>
                <w:t>[повернутись]</w:t>
              </w:r>
            </w:hyperlink>
          </w:p>
        </w:tc>
      </w:tr>
    </w:tbl>
    <w:p w:rsidR="00155607" w:rsidRPr="00155607" w:rsidRDefault="00155607" w:rsidP="00155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560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5560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5560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1"/>
      </w:tblGrid>
      <w:tr w:rsidR="00155607" w:rsidRPr="00155607" w:rsidTr="001556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1"/>
            </w:tblGrid>
            <w:tr w:rsidR="00155607" w:rsidRPr="00155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607" w:rsidRPr="00155607" w:rsidRDefault="00155607" w:rsidP="00155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55607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4"/>
                      <w:szCs w:val="24"/>
                      <w:lang w:eastAsia="uk-UA"/>
                    </w:rPr>
                    <w:t>День оприлюднення на офіційному веб-сайті Регулятора:10.01.2018</w:t>
                  </w:r>
                </w:p>
              </w:tc>
            </w:tr>
            <w:tr w:rsidR="00155607" w:rsidRPr="00155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607" w:rsidRPr="00155607" w:rsidRDefault="00155607" w:rsidP="001556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556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Дата оновлення: 17.02.2021</w:t>
                  </w:r>
                </w:p>
              </w:tc>
            </w:tr>
          </w:tbl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(У постанову вносяться зміни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постановами НКРЕКП від </w:t>
            </w:r>
            <w:hyperlink r:id="rId5" w:history="1">
              <w:r w:rsidRPr="00155607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uk-UA"/>
                </w:rPr>
                <w:t>18.10.2018 № 1229</w:t>
              </w:r>
            </w:hyperlink>
            <w:r w:rsidRPr="001556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 від </w:t>
            </w:r>
            <w:hyperlink r:id="rId6" w:history="1">
              <w:r w:rsidRPr="00155607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uk-UA"/>
                </w:rPr>
                <w:t>25.11.2020 № 2155,</w:t>
              </w:r>
            </w:hyperlink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від </w:t>
            </w:r>
            <w:hyperlink r:id="rId7" w:history="1">
              <w:r w:rsidRPr="00155607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uk-UA"/>
                </w:rPr>
                <w:t>10.02.2021 № 218</w:t>
              </w:r>
            </w:hyperlink>
            <w:r w:rsidRPr="001556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55607" w:rsidRPr="00155607" w:rsidRDefault="001B4E3A" w:rsidP="001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155607" w:rsidRPr="00155607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uk-UA"/>
                </w:rPr>
                <w:t>ОБҐРУНТУВАННЯ ПРИЙНЯТТЯ ПОСТАНОВИ</w:t>
              </w:r>
            </w:hyperlink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НАЦІОНАЛЬНА КОМІСІЯ, ЩО ЗДІЙСНЮЄ ДЕРЖАВНЕ РЕГУЛЮВАННЯ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 СФЕРАХ ЕНЕРГЕТИКИ ТА КОМУНАЛЬНИХ ПОСЛУГ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ПОСТАНОВА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27.12.2017                   № 1470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Про затвердження Ліцензійних умов провадження господарської діяльності з розподілу електричної енергії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Відповідно до статті 6 Закону України «Про ринок електричної енергії», статей 6 та 7 Закону України «Про ліцензування видів господарської діяльності» та статті 17 Закону України «Про Національну комісію, що здійснює державне регулювання у сферах енергетики та комунальних послуг» Національна комісія, що здійснює державне регулювання у сферах енергетики та комунальних послуг, ПОСТАНОВЛЯЄ: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 Затвердити Ліцензійні умови провадження господарської діяльності з розподілу електричної енергії, що додаються.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2. Ця постанова набирає чинності з 01 травня 2018 року, але не раніше дня її опублікування в офіційному друкованому виданні – газеті «Урядовий кур’єр», та вводиться в дію з 01 грудня 2018 року, крім глави 1 Ліцензійних умов </w:t>
            </w: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провадження господарської діяльності з розподілу електричної енергії, яка вводиться в дію з 01 травня  2018 року.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Голова НКРЕКП                                             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Д.Вовк</w:t>
            </w:r>
            <w:proofErr w:type="spellEnd"/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Ліцензійні умови провадження господарської діяльності з розподілу електричної енергії див. </w:t>
            </w:r>
            <w:hyperlink r:id="rId9" w:history="1">
              <w:r w:rsidRPr="00155607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uk-UA"/>
                </w:rPr>
                <w:t>тут</w:t>
              </w:r>
            </w:hyperlink>
            <w:r w:rsidRPr="001556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.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 Офіційно опубліковано в газеті „Урядовий кур’єр”, 18.04.2018, № 75</w:t>
            </w:r>
          </w:p>
        </w:tc>
      </w:tr>
    </w:tbl>
    <w:tbl>
      <w:tblPr>
        <w:tblpPr w:leftFromText="36" w:rightFromText="36" w:vertAnchor="text"/>
        <w:tblW w:w="51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155607" w:rsidRPr="00155607" w:rsidTr="00155607">
        <w:trPr>
          <w:trHeight w:val="6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55607" w:rsidRPr="00155607" w:rsidRDefault="001B4E3A" w:rsidP="0015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155607" w:rsidRPr="00155607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uk-UA"/>
                </w:rPr>
                <w:t>[повернутись]</w:t>
              </w:r>
            </w:hyperlink>
          </w:p>
        </w:tc>
      </w:tr>
      <w:tr w:rsidR="00155607" w:rsidRPr="00155607" w:rsidTr="00155607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155607" w:rsidRPr="00155607" w:rsidRDefault="00155607" w:rsidP="0015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1556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 </w:t>
            </w:r>
          </w:p>
          <w:p w:rsidR="0057315A" w:rsidRPr="00155607" w:rsidRDefault="00155607" w:rsidP="001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tbl>
            <w:tblPr>
              <w:tblpPr w:leftFromText="36" w:rightFromText="36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3"/>
            </w:tblGrid>
            <w:tr w:rsidR="0057315A" w:rsidRPr="0057315A" w:rsidTr="0057315A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7315A" w:rsidRPr="0057315A" w:rsidRDefault="0057315A" w:rsidP="00573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Національна комісія, що здійснює державне регулювання у сферах енергетики та комунальних послуг</w:t>
                  </w:r>
                  <w:r w:rsidRPr="00573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7315A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uk-UA"/>
                    </w:rPr>
                    <w:t>офіційний веб-сайт</w:t>
                  </w:r>
                </w:p>
              </w:tc>
            </w:tr>
            <w:tr w:rsidR="0057315A" w:rsidRPr="0057315A" w:rsidTr="0057315A">
              <w:trPr>
                <w:trHeight w:val="60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57315A" w:rsidRPr="0057315A" w:rsidRDefault="001B4E3A" w:rsidP="005731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1" w:history="1">
                    <w:r w:rsidR="0057315A" w:rsidRPr="0057315A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  <w:lang w:eastAsia="uk-UA"/>
                      </w:rPr>
                      <w:t>[повернутись]</w:t>
                    </w:r>
                  </w:hyperlink>
                </w:p>
              </w:tc>
            </w:tr>
          </w:tbl>
          <w:p w:rsidR="0057315A" w:rsidRPr="0057315A" w:rsidRDefault="0057315A" w:rsidP="005731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31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31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31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8"/>
            </w:tblGrid>
            <w:tr w:rsidR="0057315A" w:rsidRPr="0057315A" w:rsidTr="005731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8"/>
                  </w:tblGrid>
                  <w:tr w:rsidR="0057315A" w:rsidRPr="0057315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5A" w:rsidRPr="0057315A" w:rsidRDefault="0057315A" w:rsidP="001B4E3A">
                        <w:pPr>
                          <w:framePr w:hSpace="36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731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A43A4"/>
                            <w:sz w:val="24"/>
                            <w:szCs w:val="24"/>
                            <w:lang w:eastAsia="uk-UA"/>
                          </w:rPr>
                          <w:t>День оприлюднення на офіційному веб-сайті Регулятора:14.11.2018</w:t>
                        </w:r>
                      </w:p>
                    </w:tc>
                  </w:tr>
                  <w:tr w:rsidR="0057315A" w:rsidRPr="0057315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5A" w:rsidRPr="0057315A" w:rsidRDefault="0057315A" w:rsidP="001B4E3A">
                        <w:pPr>
                          <w:framePr w:hSpace="36" w:wrap="around" w:vAnchor="text" w:hAnchor="text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731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Дата оновлення: 18.06.2019</w:t>
                        </w:r>
                      </w:p>
                    </w:tc>
                  </w:tr>
                </w:tbl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shd w:val="clear" w:color="auto" w:fill="FFFF00"/>
                      <w:lang w:eastAsia="uk-UA"/>
                    </w:rPr>
                    <w:t>(У постанову вносяться зміни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shd w:val="clear" w:color="auto" w:fill="FFFF00"/>
                      <w:lang w:eastAsia="uk-UA"/>
                    </w:rPr>
                    <w:t>постановою НКРЕКП від </w:t>
                  </w:r>
                  <w:hyperlink r:id="rId12" w:history="1">
                    <w:r w:rsidRPr="0057315A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FFFF00"/>
                        <w:lang w:eastAsia="uk-UA"/>
                      </w:rPr>
                      <w:t>07.06.2019 № 1000</w:t>
                    </w:r>
                  </w:hyperlink>
                  <w:r w:rsidRPr="0057315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shd w:val="clear" w:color="auto" w:fill="FFFF00"/>
                      <w:lang w:eastAsia="uk-UA"/>
                    </w:rPr>
                    <w:t>)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НАЦІОНАЛЬНА КОМІСІЯ, ЩО ЗДІЙСНЮЄ ДЕРЖАВНЕ РЕГУЛЮВАННЯ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У СФЕРАХ ЕНЕРГЕТИКИ ТА КОМУНАЛЬНИХ ПОСЛУГ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ПОСТАНОВА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13.11.2018         № 1414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Про видачу ПАТ «ВІННИЦЯОБЛЕНЕРГО» ліцензії з розподілу електричної енергії та анулювання ліцензій з передачі електричної енергії місцевими (локальними) електричними </w:t>
                  </w:r>
                  <w:r w:rsidRPr="005731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мережами і постачання електричної енергії за регульованим тарифом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Відповідно до законів України «Про ліцензування видів господарської діяльності», «Про Національну комісію, що здійснює державне регулювання у сферах енергетики та комунальних послуг» та «Про ринок електричної енергії» Національна комісія, що здійснює державне регулювання у сферах енергетики та комунальних послуг, ПОСТАНОВЛЯЄ: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1. Видати ПУБЛІЧНОМУ АКЦІОНЕРНОМУ ТОВАРИСТВУ «ВІННИЦЯОБЛЕНЕРГО» (код ЄДРПОУ 00130694) ліцензію на право провадження господарської діяльності з розподілу електричної енергії у межах місць провадження господарської діяльності відповідно до додатка.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За видачу ліцензії справляється плата в розмірі одного прожиткового мінімуму для працездатних осіб, що діє на день прийняття цієї постанови, яку має бути </w:t>
                  </w:r>
                  <w:proofErr w:type="spellStart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внесено</w:t>
                  </w:r>
                  <w:proofErr w:type="spellEnd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 на рахунок Державної казначейської служби України за кодом класифікації доходів бюджету 22011500 «Плата за ліцензії, видані Національною комісією, що здійснює державне регулювання у сферах енергетики та комунальних послуг», у строк не пізніше десяти робочих днів з дня оприлюднення цього рішення в установленому порядку.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2. Анулювати ПУБЛІЧНОМУ АКЦІОНЕРНОМУ ТОВАРИСТВУ «ВІННИЦЯОБЛЕНЕРГО» (код ЄДРПОУ 00130694) з 01 січня 2019 року ліцензію на право провадження господарської діяльності з передачі електричної енергії місцевими (локальними) електричними мережами, видану відповідно до постанови Національної комісії з питань регулювання електроенергетики України від 28 серпня 1996 року № 57, та ліцензію на право провадження господарської діяльності з постачання електричної енергії за регульованим тарифом, видану відповідно до постанови Національної комісії з питань регулювання електроенергетики України від 28 серпня 1996 року № 58, на підставі пункту 13 розділу XVII «Прикінцеві та перехідні положення» Закону України «Про ринок електричної енергії».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3. Зобов’язати ПУБЛІЧНЕ АКЦІОНЕРНЕ ТОВАРИСТВО «ВІННИЦЯОБЛЕНЕРГО»: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1) до 01 січня 2019 року забезпечити завершення організаційних заходів, пов’язаних з анулюванням ліцензій з передачі електричної енергії місцевими (локальними)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енергії, зокрема, але не виключно: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надавати послуги з розподілу електричної енергії та постачання електричної енергії  за тарифами, встановленими постановою </w:t>
                  </w: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lastRenderedPageBreak/>
                    <w:t>НКРЕКП від 24 січня 2018 року № 61 (із змінами), із дотриманням визначених напрямків та обсягів використання коштів за статтями витрат структур тарифів;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" w:name="n49"/>
                  <w:bookmarkStart w:id="2" w:name="n48"/>
                  <w:bookmarkStart w:id="3" w:name="n47"/>
                  <w:bookmarkStart w:id="4" w:name="n46"/>
                  <w:bookmarkEnd w:id="1"/>
                  <w:bookmarkEnd w:id="2"/>
                  <w:bookmarkEnd w:id="3"/>
                  <w:bookmarkEnd w:id="4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виконувати схвалену постановою НКРЕКП від 26 червня 2018 року № 614 інвестиційну програму та заходи з ремонтів основних фондів у повному обсязі відповідно до запланованих етапів, обсягів робіт у кількісному вираженні та згідно з передбаченими відповідною статтею структури тарифу обсягами фінансування;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" w:name="n57"/>
                  <w:bookmarkStart w:id="6" w:name="n53"/>
                  <w:bookmarkStart w:id="7" w:name="n50"/>
                  <w:bookmarkEnd w:id="5"/>
                  <w:bookmarkEnd w:id="6"/>
                  <w:bookmarkEnd w:id="7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2) до 01 квітня 2019 року надавати до НКРЕКП звітність відповідно до вимог підпунктів 7 пункту 2.3 Ліцензійних умов провадження господарської діяльності з розподілу електричної енергії, затверджених постановою НКРЕКП від 25.07.2017 № 932, Ліцензійних умов провадження господарської діяльності з постачання електричної енергії, затверджених постановою НКРЕКП від 13.04.2017 № 504, необхідну для виконання НКРЕКП своїх повноважень, в обсягах та у строки, встановлені НКРЕКП, та розмістити на своєму веб-сайті річну фінансову звітність разом з аудиторським звітом;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3) до 01 січня 2019 року укласти договори про надання послуг з розподілу електричної енергії зі споживачами, електроустановки яких приєднані до системи розподілу електричної енергії ПУБЛІЧНОГО АКЦІОНЕРНОГО ТОВАРИСТВА «ВІННИЦЯОБЛЕНЕРГО» та договори </w:t>
                  </w:r>
                  <w:proofErr w:type="spellStart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електропостачальника</w:t>
                  </w:r>
                  <w:proofErr w:type="spellEnd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 про надання послуг з розподілу електричної енергії з  </w:t>
                  </w:r>
                  <w:proofErr w:type="spellStart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електропостачальниками</w:t>
                  </w:r>
                  <w:proofErr w:type="spellEnd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, які мають намір здійснювати діяльність з постачання електричної енергії даним споживачам, із </w:t>
                  </w:r>
                  <w:proofErr w:type="spellStart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відкладальною</w:t>
                  </w:r>
                  <w:proofErr w:type="spellEnd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 умовою набрання ними чинності з 01 січня 2019 року.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4. Ця постанова  набирає чинності з дня прийняття, крім пунктів 1 та 2, які набирають чинності з 01 січня 2019 року.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Голова НКРЕКП               </w:t>
                  </w:r>
                  <w:proofErr w:type="spellStart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О.Кривенко</w:t>
                  </w:r>
                  <w:proofErr w:type="spellEnd"/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Додаток до постанови НКРЕКП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13.11.2018 № 1414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Місця провадження господарської діяльності з розподілу електричної енергії ПУБЛІЧНОГО АКЦІОНЕРНОГО ТОВАРИСТВА «ВІННИЦЯОБЛЕНЕРГО»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1. Територія Вінницької області в межах розташування системи розподілу електричної енергії, що перебуває у власності ПУБЛІЧНОГО АКЦІОНЕРНОГО ТОВАРИСТВА «ВІННИЦЯОБЛЕНЕРГО» та </w:t>
                  </w: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lastRenderedPageBreak/>
                    <w:t>електричних мереж інших власників, які приєднані до мереж ліцензіата (з якими укладені відповідні договори згідно із законодавством).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2. Київська область: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Сквирський р-н, ПЛ-35 кВ «</w:t>
                  </w:r>
                  <w:proofErr w:type="spellStart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Калена-Новофастів</w:t>
                  </w:r>
                  <w:proofErr w:type="spellEnd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».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3. Черкаська область: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Уманський р-н, ПЛ-35 кВ «</w:t>
                  </w:r>
                  <w:proofErr w:type="spellStart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Максимівка-Росоша</w:t>
                  </w:r>
                  <w:proofErr w:type="spellEnd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».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4. Житомирська область: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57315A" w:rsidRPr="0057315A" w:rsidRDefault="0057315A" w:rsidP="001B4E3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Бердичівський р-н, ПЛ-110 кВ «</w:t>
                  </w:r>
                  <w:proofErr w:type="spellStart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Глухівці-НовоБердичів</w:t>
                  </w:r>
                  <w:proofErr w:type="spellEnd"/>
                  <w:r w:rsidRPr="0057315A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».</w:t>
                  </w:r>
                </w:p>
              </w:tc>
            </w:tr>
          </w:tbl>
          <w:tbl>
            <w:tblPr>
              <w:tblpPr w:leftFromText="36" w:rightFromText="36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3"/>
            </w:tblGrid>
            <w:tr w:rsidR="0057315A" w:rsidRPr="0057315A" w:rsidTr="0057315A">
              <w:trPr>
                <w:trHeight w:val="60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57315A" w:rsidRPr="0057315A" w:rsidRDefault="001B4E3A" w:rsidP="005731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3" w:history="1">
                    <w:r w:rsidR="0057315A" w:rsidRPr="0057315A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  <w:lang w:eastAsia="uk-UA"/>
                      </w:rPr>
                      <w:t>[повернутись]</w:t>
                    </w:r>
                  </w:hyperlink>
                </w:p>
              </w:tc>
            </w:tr>
            <w:tr w:rsidR="0057315A" w:rsidRPr="0057315A" w:rsidTr="0057315A">
              <w:trPr>
                <w:trHeight w:val="12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315A" w:rsidRPr="0057315A" w:rsidRDefault="0057315A" w:rsidP="005731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uk-UA"/>
                    </w:rPr>
                  </w:pPr>
                  <w:r w:rsidRPr="0057315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uk-UA"/>
                    </w:rPr>
                    <w:t> </w:t>
                  </w:r>
                </w:p>
                <w:p w:rsidR="0057315A" w:rsidRPr="0057315A" w:rsidRDefault="0057315A" w:rsidP="005731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3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</w:p>
              </w:tc>
            </w:tr>
          </w:tbl>
          <w:p w:rsidR="00155607" w:rsidRPr="00155607" w:rsidRDefault="00155607" w:rsidP="001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5607" w:rsidRPr="00155607" w:rsidTr="00155607">
        <w:trPr>
          <w:trHeight w:val="360"/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155607" w:rsidRPr="00155607" w:rsidRDefault="00155607" w:rsidP="001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lastRenderedPageBreak/>
              <w:t>Національна комісія, що здійснює державне регулювання у сферах енергетики та комунальних послуг</w:t>
            </w:r>
            <w:r w:rsidRPr="001556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560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uk-UA"/>
              </w:rPr>
              <w:t>офіційний веб-сайт</w:t>
            </w:r>
          </w:p>
        </w:tc>
      </w:tr>
      <w:tr w:rsidR="00155607" w:rsidRPr="00155607" w:rsidTr="00155607">
        <w:trPr>
          <w:trHeight w:val="6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55607" w:rsidRPr="00155607" w:rsidRDefault="001B4E3A" w:rsidP="0015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155607" w:rsidRPr="00155607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uk-UA"/>
                </w:rPr>
                <w:t>[повернутись]</w:t>
              </w:r>
            </w:hyperlink>
          </w:p>
        </w:tc>
      </w:tr>
    </w:tbl>
    <w:p w:rsidR="00155607" w:rsidRPr="00155607" w:rsidRDefault="00155607" w:rsidP="00155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560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5560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5560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1"/>
      </w:tblGrid>
      <w:tr w:rsidR="00155607" w:rsidRPr="00155607" w:rsidTr="001556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1"/>
            </w:tblGrid>
            <w:tr w:rsidR="00155607" w:rsidRPr="00155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607" w:rsidRPr="00155607" w:rsidRDefault="00155607" w:rsidP="00155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55607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4"/>
                      <w:szCs w:val="24"/>
                      <w:lang w:eastAsia="uk-UA"/>
                    </w:rPr>
                    <w:t>День оприлюднення на офіційному веб-сайті Регулятора:12.06.2019</w:t>
                  </w:r>
                </w:p>
              </w:tc>
            </w:tr>
          </w:tbl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НАЦІОНАЛЬНА КОМІСІЯ, ЩО ЗДІЙСНЮЄ ДЕРЖАВНЕ РЕГУЛЮВАННЯ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 СФЕРАХ ЕНЕРГЕТИКИ ТА КОМУНАЛЬНИХ ПОСЛУГ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ПОСТАНОВА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07.06</w:t>
            </w:r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.201</w:t>
            </w: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                    № </w:t>
            </w: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1000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  <w:t xml:space="preserve">Про </w:t>
            </w:r>
            <w:proofErr w:type="spellStart"/>
            <w:r w:rsidRPr="001556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  <w:t>внесення</w:t>
            </w:r>
            <w:proofErr w:type="spellEnd"/>
            <w:r w:rsidRPr="001556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556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  <w:t>змін</w:t>
            </w:r>
            <w:proofErr w:type="spellEnd"/>
            <w:r w:rsidRPr="001556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  <w:t xml:space="preserve"> до постанови НКРЕКП </w:t>
            </w:r>
            <w:proofErr w:type="spellStart"/>
            <w:r w:rsidRPr="001556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  <w:t>від</w:t>
            </w:r>
            <w:proofErr w:type="spellEnd"/>
            <w:r w:rsidRPr="001556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  <w:t xml:space="preserve"> 13 листопада 2018 року № 1414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Відповідно до законів України «Про ліцензування видів господарської діяльності», «Про Національну комісію, що здійснює державне регулювання у сферах енергетики та комунальних послуг» Національна комісія, що здійснює державне регулювання у сферах енергетики та комунальних послуг, ПОСТАНОВЛЯЄ: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Унести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до постанови Національної комісії, що здійснює державне регулювання у сферах енергетики та комунальних послуг, від 13 листопада 2018 року № 1414 «Про видачу ПАТ «ВІННИЦЯОБЛЕНЕРГО»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тарифом» такі зміни: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1) </w:t>
            </w:r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у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назві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абревіатуру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«ПАТ»  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замінити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абревіатурою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«АТ»;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2) </w:t>
            </w:r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у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пункті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1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постановляючої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частини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до постанови слова «ПУБЛІЧНЕ АКЦІОНЕРНЕ» у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всіх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відмінках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замінити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словами «АКЦІОНЕРНЕ» у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відповідних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відмінках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.   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 </w:t>
            </w:r>
          </w:p>
          <w:p w:rsidR="00155607" w:rsidRPr="00155607" w:rsidRDefault="00155607" w:rsidP="00155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Голова НКРЕКП</w:t>
            </w:r>
            <w:r w:rsidRPr="0015560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                                             </w:t>
            </w:r>
            <w:proofErr w:type="spellStart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О.Кривенко</w:t>
            </w:r>
            <w:proofErr w:type="spellEnd"/>
            <w:r w:rsidRPr="00155607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 </w:t>
            </w:r>
          </w:p>
        </w:tc>
      </w:tr>
    </w:tbl>
    <w:tbl>
      <w:tblPr>
        <w:tblpPr w:leftFromText="36" w:rightFromText="36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55607" w:rsidRPr="00155607" w:rsidTr="00155607">
        <w:trPr>
          <w:trHeight w:val="6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55607" w:rsidRPr="00155607" w:rsidRDefault="001B4E3A" w:rsidP="0015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155607" w:rsidRPr="00155607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uk-UA"/>
                </w:rPr>
                <w:t>[повернутись]</w:t>
              </w:r>
            </w:hyperlink>
          </w:p>
        </w:tc>
      </w:tr>
      <w:tr w:rsidR="00155607" w:rsidRPr="00155607" w:rsidTr="00155607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155607" w:rsidRPr="00155607" w:rsidRDefault="00155607" w:rsidP="0015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1556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 </w:t>
            </w:r>
          </w:p>
          <w:p w:rsidR="00155607" w:rsidRPr="00155607" w:rsidRDefault="00155607" w:rsidP="001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6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DF1361" w:rsidRDefault="00DF1361"/>
    <w:sectPr w:rsidR="00DF1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39"/>
    <w:rsid w:val="00155607"/>
    <w:rsid w:val="001B4E3A"/>
    <w:rsid w:val="0057315A"/>
    <w:rsid w:val="00A84739"/>
    <w:rsid w:val="00DC6122"/>
    <w:rsid w:val="00D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6854-46AD-435A-9A31-3FA10B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6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55607"/>
    <w:rPr>
      <w:b/>
      <w:bCs/>
    </w:rPr>
  </w:style>
  <w:style w:type="character" w:styleId="a6">
    <w:name w:val="Emphasis"/>
    <w:basedOn w:val="a0"/>
    <w:uiPriority w:val="20"/>
    <w:qFormat/>
    <w:rsid w:val="00155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gov.ua/data/filearch/Materialy_zasidan/2017/gruden/27.12.2017/p12_27-12-17.pdf" TargetMode="External"/><Relationship Id="rId13" Type="http://schemas.openxmlformats.org/officeDocument/2006/relationships/hyperlink" Target="http://nerc.gov.ua/?id=359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rc.gov.ua/?id=59057" TargetMode="External"/><Relationship Id="rId12" Type="http://schemas.openxmlformats.org/officeDocument/2006/relationships/hyperlink" Target="https://www.nerc.gov.ua/?id=416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erc.gov.ua/index.php?id=56185" TargetMode="External"/><Relationship Id="rId11" Type="http://schemas.openxmlformats.org/officeDocument/2006/relationships/hyperlink" Target="http://nerc.gov.ua/?id=35968" TargetMode="External"/><Relationship Id="rId5" Type="http://schemas.openxmlformats.org/officeDocument/2006/relationships/hyperlink" Target="https://www.nerc.gov.ua/?id=35267" TargetMode="External"/><Relationship Id="rId15" Type="http://schemas.openxmlformats.org/officeDocument/2006/relationships/hyperlink" Target="http://nerc.gov.ua/?id=41607" TargetMode="External"/><Relationship Id="rId10" Type="http://schemas.openxmlformats.org/officeDocument/2006/relationships/hyperlink" Target="http://nerc.gov.ua/?id=30424" TargetMode="External"/><Relationship Id="rId4" Type="http://schemas.openxmlformats.org/officeDocument/2006/relationships/hyperlink" Target="http://nerc.gov.ua/?id=30424" TargetMode="External"/><Relationship Id="rId9" Type="http://schemas.openxmlformats.org/officeDocument/2006/relationships/hyperlink" Target="https://www.nerc.gov.ua/data/filearch/postanovy/2017/p1470-l-2017.pdf" TargetMode="External"/><Relationship Id="rId14" Type="http://schemas.openxmlformats.org/officeDocument/2006/relationships/hyperlink" Target="http://nerc.gov.ua/?id=41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Админ</cp:lastModifiedBy>
  <cp:revision>2</cp:revision>
  <dcterms:created xsi:type="dcterms:W3CDTF">2023-01-05T13:20:00Z</dcterms:created>
  <dcterms:modified xsi:type="dcterms:W3CDTF">2023-01-05T13:20:00Z</dcterms:modified>
</cp:coreProperties>
</file>