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110971" w:rsidP="00ED5BE3">
      <w:pPr>
        <w:ind w:firstLine="283"/>
        <w:jc w:val="both"/>
        <w:rPr>
          <w:sz w:val="24"/>
          <w:szCs w:val="24"/>
          <w:lang w:val="uk-UA" w:eastAsia="uk-UA"/>
        </w:rPr>
      </w:pPr>
      <w:r w:rsidRPr="00AE4CA9">
        <w:rPr>
          <w:b/>
          <w:sz w:val="24"/>
          <w:szCs w:val="24"/>
          <w:lang w:val="uk-UA" w:eastAsia="uk-UA"/>
        </w:rPr>
        <w:t xml:space="preserve">Акціонерне товариство «Національна атомна енергогенеруюча компанія «ЕНЕРГОАТОМ», </w:t>
      </w:r>
      <w:r w:rsidRPr="00AE4CA9">
        <w:rPr>
          <w:sz w:val="24"/>
          <w:szCs w:val="24"/>
          <w:lang w:val="uk-UA" w:eastAsia="uk-UA"/>
        </w:rPr>
        <w:t xml:space="preserve">іменоване надалі </w:t>
      </w:r>
      <w:r w:rsidRPr="00AE4CA9">
        <w:rPr>
          <w:b/>
          <w:sz w:val="24"/>
          <w:szCs w:val="24"/>
          <w:lang w:val="uk-UA" w:eastAsia="uk-UA"/>
        </w:rPr>
        <w:t>Покупець,</w:t>
      </w:r>
      <w:r w:rsidRPr="00AE4CA9">
        <w:rPr>
          <w:sz w:val="24"/>
          <w:szCs w:val="24"/>
          <w:lang w:val="uk-UA" w:eastAsia="uk-UA"/>
        </w:rPr>
        <w:t xml:space="preserve"> від імені якої діє </w:t>
      </w:r>
      <w:r w:rsidRPr="00AE4CA9">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AE4CA9" w:rsidRPr="00AE4CA9">
        <w:rPr>
          <w:sz w:val="24"/>
          <w:szCs w:val="24"/>
          <w:lang w:val="uk-UA"/>
        </w:rPr>
        <w:t xml:space="preserve">15430000-1  по ДК 021:2015 - Харчові жири (Маргарин)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AE4CA9">
        <w:rPr>
          <w:sz w:val="24"/>
          <w:szCs w:val="24"/>
          <w:lang w:val="uk-UA" w:eastAsia="uk-UA"/>
        </w:rPr>
        <w:t xml:space="preserve">2024 </w:t>
      </w:r>
      <w:r w:rsidR="00DE2405" w:rsidRPr="004970C2">
        <w:rPr>
          <w:sz w:val="24"/>
          <w:szCs w:val="24"/>
          <w:lang w:val="uk-UA" w:eastAsia="uk-UA"/>
        </w:rPr>
        <w:t>року</w:t>
      </w:r>
      <w:r w:rsidR="00AE4CA9">
        <w:rPr>
          <w:sz w:val="24"/>
          <w:szCs w:val="24"/>
          <w:lang w:val="uk-UA" w:eastAsia="uk-UA"/>
        </w:rPr>
        <w:t>.</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w:t>
      </w:r>
      <w:r w:rsidRPr="004970C2">
        <w:rPr>
          <w:b/>
          <w:sz w:val="24"/>
          <w:szCs w:val="24"/>
          <w:lang w:val="uk-UA"/>
        </w:rPr>
        <w:lastRenderedPageBreak/>
        <w:t>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Default="00DE476B" w:rsidP="0028127F">
      <w:pPr>
        <w:overflowPunct w:val="0"/>
        <w:ind w:firstLine="426"/>
        <w:jc w:val="both"/>
        <w:textAlignment w:val="baseline"/>
        <w:rPr>
          <w:sz w:val="24"/>
          <w:szCs w:val="24"/>
          <w:u w:val="single"/>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AE4CA9">
        <w:rPr>
          <w:b/>
          <w:sz w:val="24"/>
          <w:szCs w:val="24"/>
          <w:lang w:val="uk-UA"/>
        </w:rPr>
        <w:t>20.12.2024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AE4CA9">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AE4CA9" w:rsidRPr="004970C2" w:rsidRDefault="00AE4CA9" w:rsidP="00AE4CA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4970C2" w:rsidRDefault="007B6203" w:rsidP="007B6203">
      <w:pPr>
        <w:jc w:val="both"/>
        <w:rPr>
          <w:sz w:val="24"/>
          <w:szCs w:val="24"/>
          <w:lang w:val="uk-UA"/>
        </w:rPr>
      </w:pPr>
      <w:r w:rsidRPr="004970C2">
        <w:rPr>
          <w:sz w:val="24"/>
          <w:szCs w:val="24"/>
        </w:rPr>
        <w:t xml:space="preserve">- </w:t>
      </w:r>
      <w:r w:rsidR="00815001" w:rsidRPr="004970C2">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AE4CA9" w:rsidRPr="00AE4CA9">
        <w:rPr>
          <w:sz w:val="24"/>
          <w:szCs w:val="24"/>
          <w:lang w:val="uk-UA"/>
        </w:rPr>
        <w:t>ТСдоПЗ</w:t>
      </w:r>
      <w:proofErr w:type="spellEnd"/>
      <w:r w:rsidR="00AE4CA9" w:rsidRPr="00AE4CA9">
        <w:rPr>
          <w:sz w:val="24"/>
          <w:szCs w:val="24"/>
          <w:lang w:val="uk-UA"/>
        </w:rPr>
        <w:t>(т</w:t>
      </w:r>
      <w:proofErr w:type="gramStart"/>
      <w:r w:rsidR="00AE4CA9" w:rsidRPr="00AE4CA9">
        <w:rPr>
          <w:sz w:val="24"/>
          <w:szCs w:val="24"/>
          <w:lang w:val="uk-UA"/>
        </w:rPr>
        <w:t>).23.2400.10.0006</w:t>
      </w:r>
      <w:proofErr w:type="gramEnd"/>
      <w:r w:rsidR="00AE4CA9" w:rsidRPr="00AE4CA9">
        <w:rPr>
          <w:sz w:val="24"/>
          <w:szCs w:val="24"/>
          <w:lang w:val="uk-UA"/>
        </w:rPr>
        <w:t xml:space="preserve">-2024 </w:t>
      </w:r>
      <w:r w:rsidR="00815001" w:rsidRPr="004970C2">
        <w:rPr>
          <w:b/>
          <w:sz w:val="24"/>
          <w:szCs w:val="24"/>
          <w:lang w:val="uk-UA"/>
        </w:rPr>
        <w:t xml:space="preserve">(УВАГА! Вказати адресу торгів на </w:t>
      </w:r>
      <w:proofErr w:type="spellStart"/>
      <w:r w:rsidR="005131A8" w:rsidRPr="004970C2">
        <w:rPr>
          <w:b/>
          <w:sz w:val="24"/>
          <w:szCs w:val="24"/>
          <w:lang w:val="en-US"/>
        </w:rPr>
        <w:t>Prozorro</w:t>
      </w:r>
      <w:proofErr w:type="spellEnd"/>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100AB0" w:rsidRPr="004970C2" w:rsidRDefault="000438DD" w:rsidP="00AE4CA9">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 документи підтверджуючі відповідність продукції, відповідно технічної специфікації до предмета закупівлі</w:t>
      </w:r>
      <w:r w:rsidR="00AE4CA9">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w:t>
      </w:r>
      <w:r w:rsidR="003C7C30" w:rsidRPr="004970C2">
        <w:rPr>
          <w:spacing w:val="-1"/>
          <w:sz w:val="24"/>
          <w:szCs w:val="24"/>
          <w:lang w:val="uk-UA"/>
        </w:rPr>
        <w:lastRenderedPageBreak/>
        <w:t>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AE4CA9" w:rsidRDefault="00B060F5" w:rsidP="00AE4CA9">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AE4CA9">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784FFD" w:rsidRPr="00AE4CA9" w:rsidRDefault="00D17556" w:rsidP="00AE4CA9">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AE4CA9">
        <w:rPr>
          <w:sz w:val="24"/>
          <w:szCs w:val="24"/>
        </w:rPr>
        <w:t xml:space="preserve"> 5</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 xml:space="preserve">-політики </w:t>
      </w:r>
      <w:r w:rsidR="00110971" w:rsidRPr="00AE4CA9">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lastRenderedPageBreak/>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AE4CA9" w:rsidRDefault="00674A55" w:rsidP="00AE4CA9">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w:t>
      </w:r>
      <w:r w:rsidR="00110971" w:rsidRPr="00AE4CA9">
        <w:rPr>
          <w:sz w:val="24"/>
          <w:szCs w:val="24"/>
          <w:lang w:val="uk-UA"/>
        </w:rPr>
        <w:t>АТ</w:t>
      </w:r>
      <w:r w:rsidRPr="004970C2">
        <w:rPr>
          <w:sz w:val="24"/>
          <w:szCs w:val="24"/>
          <w:lang w:val="uk-UA"/>
        </w:rPr>
        <w:t xml:space="preserve">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AE4CA9">
        <w:rPr>
          <w:sz w:val="24"/>
          <w:szCs w:val="24"/>
          <w:lang w:val="uk-UA"/>
        </w:rPr>
        <w:t>АТ</w:t>
      </w:r>
      <w:r w:rsidRPr="004970C2">
        <w:rPr>
          <w:sz w:val="24"/>
          <w:szCs w:val="24"/>
          <w:lang w:val="uk-UA"/>
        </w:rPr>
        <w:t xml:space="preserve">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Default="00865A5A" w:rsidP="00005793">
      <w:pPr>
        <w:ind w:firstLine="426"/>
        <w:jc w:val="both"/>
        <w:rPr>
          <w:sz w:val="24"/>
          <w:szCs w:val="24"/>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w:t>
      </w:r>
      <w:r w:rsidRPr="004970C2">
        <w:rPr>
          <w:sz w:val="24"/>
          <w:szCs w:val="24"/>
          <w:lang w:val="uk-UA"/>
        </w:rPr>
        <w:lastRenderedPageBreak/>
        <w:t xml:space="preserve">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2F486F" w:rsidRPr="004970C2" w:rsidRDefault="002F486F" w:rsidP="00005793">
      <w:pPr>
        <w:ind w:firstLine="426"/>
        <w:jc w:val="both"/>
        <w:rPr>
          <w:b/>
          <w:sz w:val="24"/>
          <w:szCs w:val="24"/>
          <w:lang w:val="uk-UA"/>
        </w:rPr>
      </w:pP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2F486F" w:rsidRDefault="002F486F" w:rsidP="002F486F">
      <w:pPr>
        <w:pStyle w:val="af0"/>
        <w:ind w:left="426"/>
        <w:jc w:val="both"/>
        <w:rPr>
          <w:rFonts w:ascii="Times New Roman" w:hAnsi="Times New Roman"/>
          <w:sz w:val="24"/>
          <w:szCs w:val="24"/>
          <w:lang w:val="uk-UA"/>
        </w:rPr>
      </w:pPr>
    </w:p>
    <w:p w:rsidR="002F486F" w:rsidRPr="004970C2" w:rsidRDefault="002F486F" w:rsidP="002F486F">
      <w:pPr>
        <w:pStyle w:val="af0"/>
        <w:ind w:left="426"/>
        <w:jc w:val="both"/>
        <w:rPr>
          <w:rFonts w:ascii="Times New Roman" w:hAnsi="Times New Roman"/>
          <w:sz w:val="24"/>
          <w:szCs w:val="24"/>
          <w:lang w:val="uk-UA"/>
        </w:rPr>
      </w:pP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2F486F">
      <w:pPr>
        <w:pStyle w:val="31"/>
        <w:ind w:left="0" w:firstLine="360"/>
        <w:rPr>
          <w:szCs w:val="24"/>
        </w:rPr>
      </w:pPr>
      <w:r w:rsidRPr="004970C2">
        <w:rPr>
          <w:szCs w:val="24"/>
        </w:rPr>
        <w:lastRenderedPageBreak/>
        <w:t>1</w:t>
      </w:r>
      <w:r w:rsidR="00DE7508" w:rsidRPr="004970C2">
        <w:rPr>
          <w:szCs w:val="24"/>
        </w:rPr>
        <w:t>1</w:t>
      </w:r>
      <w:r w:rsidRPr="004970C2">
        <w:rPr>
          <w:szCs w:val="24"/>
        </w:rPr>
        <w:t xml:space="preserve">.2  Усі документи за даним Договором, спрямовані по факсимільному зв’язку, мають юридичну силу </w:t>
      </w:r>
      <w:bookmarkStart w:id="0" w:name="_GoBack"/>
      <w:bookmarkEnd w:id="0"/>
      <w:r w:rsidRPr="004970C2">
        <w:rPr>
          <w:szCs w:val="24"/>
        </w:rPr>
        <w:t>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4970C2" w:rsidRPr="004970C2" w:rsidRDefault="00110971" w:rsidP="004970C2">
            <w:pPr>
              <w:rPr>
                <w:b/>
                <w:sz w:val="24"/>
                <w:szCs w:val="24"/>
                <w:lang w:val="uk-UA" w:eastAsia="uk-UA"/>
              </w:rPr>
            </w:pPr>
            <w:r w:rsidRPr="00AE4CA9">
              <w:rPr>
                <w:b/>
                <w:sz w:val="24"/>
                <w:szCs w:val="24"/>
                <w:lang w:val="uk-UA" w:eastAsia="uk-UA"/>
              </w:rPr>
              <w:t>Акціонерне товариство «Національна атомна енергогенеруюча компанія «ЕНЕРГОАТОМ», Ф</w:t>
            </w:r>
            <w:r w:rsidRPr="00AE4CA9">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lastRenderedPageBreak/>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lastRenderedPageBreak/>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lastRenderedPageBreak/>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62" w:rsidRDefault="00A56662">
      <w:r>
        <w:separator/>
      </w:r>
    </w:p>
  </w:endnote>
  <w:endnote w:type="continuationSeparator" w:id="0">
    <w:p w:rsidR="00A56662" w:rsidRDefault="00A5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F486F">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62" w:rsidRDefault="00A56662">
      <w:pPr>
        <w:pStyle w:val="a6"/>
        <w:tabs>
          <w:tab w:val="clear" w:pos="4677"/>
          <w:tab w:val="clear" w:pos="9355"/>
        </w:tabs>
      </w:pPr>
      <w:r>
        <w:separator/>
      </w:r>
    </w:p>
  </w:footnote>
  <w:footnote w:type="continuationSeparator" w:id="0">
    <w:p w:rsidR="00A56662" w:rsidRDefault="00A56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2EF0"/>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486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6A8F"/>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56662"/>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CA9"/>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2D9B"/>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613C"/>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1CDB-EF10-4AA9-B1B4-1DFA7745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23150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2024-02-09T13:32:00Z</cp:lastPrinted>
  <dcterms:created xsi:type="dcterms:W3CDTF">2024-02-01T12:08:00Z</dcterms:created>
  <dcterms:modified xsi:type="dcterms:W3CDTF">2024-02-09T13:32:00Z</dcterms:modified>
</cp:coreProperties>
</file>