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6E" w:rsidRDefault="00154A08">
      <w:pPr>
        <w:pStyle w:val="1"/>
        <w:spacing w:before="60"/>
        <w:ind w:left="5949"/>
        <w:jc w:val="both"/>
        <w:rPr>
          <w:u w:val="none"/>
        </w:rPr>
      </w:pPr>
      <w:r>
        <w:rPr>
          <w:u w:val="none"/>
        </w:rPr>
        <w:t>Додаток 2</w:t>
      </w:r>
    </w:p>
    <w:p w:rsidR="00216E6E" w:rsidRDefault="00216E6E">
      <w:pPr>
        <w:rPr>
          <w:i/>
          <w:sz w:val="20"/>
        </w:rPr>
      </w:pPr>
      <w:bookmarkStart w:id="0" w:name="_GoBack"/>
      <w:bookmarkEnd w:id="0"/>
    </w:p>
    <w:p w:rsidR="00216E6E" w:rsidRDefault="00216E6E">
      <w:pPr>
        <w:rPr>
          <w:i/>
          <w:sz w:val="20"/>
        </w:rPr>
      </w:pPr>
    </w:p>
    <w:p w:rsidR="00216E6E" w:rsidRDefault="00216E6E">
      <w:pPr>
        <w:spacing w:before="6"/>
        <w:rPr>
          <w:i/>
          <w:sz w:val="20"/>
        </w:rPr>
      </w:pPr>
    </w:p>
    <w:p w:rsidR="00216E6E" w:rsidRDefault="00154A08">
      <w:pPr>
        <w:spacing w:before="90" w:line="242" w:lineRule="auto"/>
        <w:ind w:left="398" w:right="201"/>
        <w:jc w:val="center"/>
        <w:rPr>
          <w:b/>
          <w:sz w:val="24"/>
        </w:rPr>
      </w:pPr>
      <w:bookmarkStart w:id="1" w:name="Вимоги,_встановлені_статтею_17_Закону_(к"/>
      <w:bookmarkEnd w:id="1"/>
      <w:r>
        <w:rPr>
          <w:b/>
          <w:sz w:val="24"/>
          <w:u w:val="single"/>
        </w:rPr>
        <w:t xml:space="preserve">Вимоги, встановлені </w:t>
      </w:r>
      <w:hyperlink r:id="rId5" w:anchor="n294">
        <w:r>
          <w:rPr>
            <w:b/>
            <w:sz w:val="24"/>
            <w:u w:val="single"/>
          </w:rPr>
          <w:t xml:space="preserve">статтею 17 </w:t>
        </w:r>
      </w:hyperlink>
      <w:r>
        <w:rPr>
          <w:b/>
          <w:sz w:val="24"/>
          <w:u w:val="single"/>
        </w:rPr>
        <w:t xml:space="preserve">Закону </w:t>
      </w:r>
      <w:r>
        <w:rPr>
          <w:b/>
          <w:u w:val="single"/>
        </w:rPr>
        <w:t xml:space="preserve">(крім пункту 13 частини першої статті 17 Закону) </w:t>
      </w:r>
      <w:r>
        <w:rPr>
          <w:b/>
          <w:sz w:val="24"/>
          <w:u w:val="single"/>
        </w:rPr>
        <w:t>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інформація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спосіб підтвердження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відповідності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учасників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(переможця)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вимогам</w:t>
      </w:r>
      <w:r>
        <w:rPr>
          <w:b/>
          <w:spacing w:val="3"/>
          <w:sz w:val="24"/>
          <w:u w:val="thick"/>
        </w:rPr>
        <w:t xml:space="preserve"> </w:t>
      </w:r>
    </w:p>
    <w:p w:rsidR="00216E6E" w:rsidRDefault="00154A08">
      <w:pPr>
        <w:pStyle w:val="1"/>
        <w:spacing w:line="275" w:lineRule="exact"/>
        <w:ind w:right="200"/>
        <w:rPr>
          <w:u w:val="none"/>
        </w:rPr>
      </w:pPr>
      <w:r>
        <w:rPr>
          <w:u w:val="thick"/>
        </w:rPr>
        <w:t>згідно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із законодавством</w:t>
      </w:r>
    </w:p>
    <w:p w:rsidR="00216E6E" w:rsidRDefault="00216E6E">
      <w:pPr>
        <w:spacing w:before="8"/>
        <w:rPr>
          <w:b/>
          <w:sz w:val="15"/>
        </w:rPr>
      </w:pPr>
    </w:p>
    <w:p w:rsidR="00216E6E" w:rsidRDefault="00154A08">
      <w:pPr>
        <w:pStyle w:val="a4"/>
        <w:numPr>
          <w:ilvl w:val="0"/>
          <w:numId w:val="2"/>
        </w:numPr>
        <w:tabs>
          <w:tab w:val="left" w:pos="595"/>
        </w:tabs>
        <w:spacing w:before="95" w:line="235" w:lineRule="auto"/>
        <w:ind w:firstLine="0"/>
        <w:jc w:val="both"/>
        <w:rPr>
          <w:sz w:val="24"/>
        </w:rPr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юридичних</w:t>
      </w:r>
      <w:r>
        <w:rPr>
          <w:b/>
          <w:spacing w:val="1"/>
        </w:rPr>
        <w:t xml:space="preserve"> </w:t>
      </w:r>
      <w:r>
        <w:rPr>
          <w:b/>
        </w:rPr>
        <w:t>осіб,</w:t>
      </w:r>
      <w:r>
        <w:rPr>
          <w:b/>
          <w:spacing w:val="1"/>
        </w:rPr>
        <w:t xml:space="preserve"> </w:t>
      </w:r>
      <w:r>
        <w:rPr>
          <w:b/>
        </w:rPr>
        <w:t>фізичних</w:t>
      </w:r>
      <w:r>
        <w:rPr>
          <w:b/>
          <w:spacing w:val="1"/>
        </w:rPr>
        <w:t xml:space="preserve"> </w:t>
      </w:r>
      <w:r>
        <w:rPr>
          <w:b/>
        </w:rPr>
        <w:t>осіб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фізичних</w:t>
      </w:r>
      <w:r>
        <w:rPr>
          <w:b/>
          <w:spacing w:val="1"/>
        </w:rPr>
        <w:t xml:space="preserve"> </w:t>
      </w:r>
      <w:r>
        <w:rPr>
          <w:b/>
        </w:rPr>
        <w:t>осіб-підприємців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підтвердження</w:t>
      </w:r>
      <w:r>
        <w:rPr>
          <w:b/>
          <w:spacing w:val="1"/>
        </w:rPr>
        <w:t xml:space="preserve"> </w:t>
      </w:r>
      <w:r>
        <w:rPr>
          <w:b/>
        </w:rPr>
        <w:t>відповідності учасника процедури закупівлі вимогам, встановленим статтею 17 Закону (крім</w:t>
      </w:r>
      <w:r>
        <w:rPr>
          <w:b/>
          <w:spacing w:val="1"/>
        </w:rPr>
        <w:t xml:space="preserve"> </w:t>
      </w:r>
      <w:r>
        <w:rPr>
          <w:b/>
        </w:rPr>
        <w:t>пункту 13 частини першої статті 17 Закону)</w:t>
      </w:r>
      <w:r>
        <w:rPr>
          <w:b/>
          <w:spacing w:val="1"/>
        </w:rPr>
        <w:t xml:space="preserve"> </w:t>
      </w:r>
      <w:r>
        <w:t>(Закону України «Про публічні закупівлі» 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Закон)):</w:t>
      </w:r>
    </w:p>
    <w:p w:rsidR="00216E6E" w:rsidRDefault="00154A08">
      <w:pPr>
        <w:ind w:left="316" w:right="262"/>
        <w:jc w:val="both"/>
      </w:pPr>
      <w:r>
        <w:t>Учасник процедури закупівлі підтверджує відсутність підстав,</w:t>
      </w:r>
      <w:r>
        <w:rPr>
          <w:spacing w:val="1"/>
        </w:rPr>
        <w:t xml:space="preserve"> </w:t>
      </w:r>
      <w:r>
        <w:t>визначених статті 17 Закону (крім</w:t>
      </w:r>
      <w:r>
        <w:rPr>
          <w:spacing w:val="1"/>
        </w:rPr>
        <w:t xml:space="preserve"> </w:t>
      </w:r>
      <w:r>
        <w:t>пункту 13 частини першої статті 17 Закону), шляхом самостійного декларування відсутності таких</w:t>
      </w:r>
      <w:r>
        <w:rPr>
          <w:spacing w:val="1"/>
        </w:rPr>
        <w:t xml:space="preserve"> </w:t>
      </w:r>
      <w:r>
        <w:t>підстав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2"/>
        </w:rPr>
        <w:t xml:space="preserve"> </w:t>
      </w:r>
      <w:r>
        <w:t>системі</w:t>
      </w:r>
      <w:r>
        <w:rPr>
          <w:spacing w:val="-2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пропозиції.</w:t>
      </w:r>
    </w:p>
    <w:p w:rsidR="00216E6E" w:rsidRDefault="00154A08">
      <w:pPr>
        <w:ind w:left="316" w:right="255"/>
        <w:jc w:val="both"/>
      </w:pPr>
      <w:r>
        <w:t>Замовник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55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закупівлі.</w:t>
      </w:r>
    </w:p>
    <w:p w:rsidR="00216E6E" w:rsidRDefault="00154A08">
      <w:pPr>
        <w:spacing w:before="205" w:line="207" w:lineRule="exact"/>
        <w:ind w:left="316"/>
        <w:rPr>
          <w:sz w:val="18"/>
        </w:rPr>
      </w:pPr>
      <w:r>
        <w:rPr>
          <w:sz w:val="18"/>
          <w:u w:val="single"/>
        </w:rPr>
        <w:t>Примітки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до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пп.1:</w:t>
      </w:r>
    </w:p>
    <w:p w:rsidR="00216E6E" w:rsidRDefault="00154A08">
      <w:pPr>
        <w:pStyle w:val="a3"/>
        <w:spacing w:line="242" w:lineRule="auto"/>
        <w:ind w:left="316" w:right="261" w:firstLine="254"/>
        <w:jc w:val="both"/>
      </w:pPr>
      <w:r>
        <w:t>У випадку якщо учасником процедури закупівлі є об’єднання учасників, то на кожного з учасників такого об’єднання,</w:t>
      </w:r>
      <w:r>
        <w:rPr>
          <w:spacing w:val="1"/>
        </w:rPr>
        <w:t xml:space="preserve"> </w:t>
      </w:r>
      <w:r>
        <w:t>надається окрема довідка в довільній формі для підтвердження відповідності вимогам, визначеним статтею 17 Закону.</w:t>
      </w:r>
      <w:r>
        <w:rPr>
          <w:spacing w:val="1"/>
        </w:rPr>
        <w:t xml:space="preserve"> </w:t>
      </w:r>
      <w:r>
        <w:t>(крім</w:t>
      </w:r>
      <w:r>
        <w:rPr>
          <w:spacing w:val="-5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частини</w:t>
      </w:r>
      <w:r>
        <w:rPr>
          <w:spacing w:val="5"/>
        </w:rPr>
        <w:t xml:space="preserve"> </w:t>
      </w:r>
      <w:r>
        <w:t>першої статті 17</w:t>
      </w:r>
      <w:r>
        <w:rPr>
          <w:spacing w:val="-2"/>
        </w:rPr>
        <w:t xml:space="preserve"> </w:t>
      </w:r>
      <w:r>
        <w:t>Закону)</w:t>
      </w:r>
    </w:p>
    <w:p w:rsidR="00216E6E" w:rsidRDefault="00154A08">
      <w:pPr>
        <w:pStyle w:val="a3"/>
        <w:ind w:left="316" w:right="267" w:firstLine="254"/>
        <w:jc w:val="both"/>
      </w:pPr>
      <w:r>
        <w:t>Замовник не перевіряє переможця процедури закупівлі на відповідність підстави, визначеної пунктом 13 частини першої</w:t>
      </w:r>
      <w:r>
        <w:rPr>
          <w:spacing w:val="-42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 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 закупівлі/переможця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відсутності.</w:t>
      </w:r>
    </w:p>
    <w:p w:rsidR="00216E6E" w:rsidRDefault="00154A08">
      <w:pPr>
        <w:pStyle w:val="a4"/>
        <w:numPr>
          <w:ilvl w:val="0"/>
          <w:numId w:val="2"/>
        </w:numPr>
        <w:tabs>
          <w:tab w:val="left" w:pos="538"/>
        </w:tabs>
        <w:ind w:firstLine="0"/>
        <w:jc w:val="both"/>
        <w:rPr>
          <w:b/>
        </w:rPr>
      </w:pPr>
      <w:bookmarkStart w:id="2" w:name="2._Документи_для_юридичних_осіб,_фізични"/>
      <w:bookmarkEnd w:id="2"/>
      <w:r>
        <w:rPr>
          <w:b/>
        </w:rPr>
        <w:t>Документи для юридичних осіб, фізичних осіб та фізичних осіб-підприємців на підтвердження</w:t>
      </w:r>
      <w:r>
        <w:rPr>
          <w:b/>
          <w:spacing w:val="-52"/>
        </w:rPr>
        <w:t xml:space="preserve"> </w:t>
      </w:r>
      <w:r>
        <w:rPr>
          <w:b/>
        </w:rPr>
        <w:t>відповідності</w:t>
      </w:r>
      <w:r>
        <w:rPr>
          <w:b/>
          <w:spacing w:val="1"/>
        </w:rPr>
        <w:t xml:space="preserve"> </w:t>
      </w:r>
      <w:r>
        <w:rPr>
          <w:b/>
        </w:rPr>
        <w:t>переможця</w:t>
      </w:r>
      <w:r>
        <w:rPr>
          <w:b/>
          <w:spacing w:val="1"/>
        </w:rPr>
        <w:t xml:space="preserve"> </w:t>
      </w:r>
      <w:r>
        <w:rPr>
          <w:b/>
        </w:rPr>
        <w:t>процедури</w:t>
      </w:r>
      <w:r>
        <w:rPr>
          <w:b/>
          <w:spacing w:val="1"/>
        </w:rPr>
        <w:t xml:space="preserve"> </w:t>
      </w:r>
      <w:r>
        <w:rPr>
          <w:b/>
        </w:rPr>
        <w:t>закупівлі</w:t>
      </w:r>
      <w:r>
        <w:rPr>
          <w:b/>
          <w:spacing w:val="1"/>
        </w:rPr>
        <w:t xml:space="preserve"> </w:t>
      </w:r>
      <w:r>
        <w:rPr>
          <w:b/>
        </w:rPr>
        <w:t>вимогам,</w:t>
      </w:r>
      <w:r>
        <w:rPr>
          <w:b/>
          <w:spacing w:val="1"/>
        </w:rPr>
        <w:t xml:space="preserve"> </w:t>
      </w:r>
      <w:r>
        <w:rPr>
          <w:b/>
        </w:rPr>
        <w:t>встановленим</w:t>
      </w:r>
      <w:r>
        <w:rPr>
          <w:b/>
          <w:spacing w:val="1"/>
        </w:rPr>
        <w:t xml:space="preserve"> </w:t>
      </w:r>
      <w:r>
        <w:rPr>
          <w:b/>
        </w:rPr>
        <w:t>статтею</w:t>
      </w:r>
      <w:r>
        <w:rPr>
          <w:b/>
          <w:spacing w:val="1"/>
        </w:rPr>
        <w:t xml:space="preserve">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rPr>
          <w:b/>
        </w:rPr>
        <w:t>Закону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урахуванням</w:t>
      </w:r>
      <w:r>
        <w:rPr>
          <w:b/>
          <w:spacing w:val="-4"/>
        </w:rPr>
        <w:t xml:space="preserve"> </w:t>
      </w:r>
      <w:r>
        <w:rPr>
          <w:b/>
        </w:rPr>
        <w:t>пункту</w:t>
      </w:r>
      <w:r>
        <w:rPr>
          <w:b/>
          <w:spacing w:val="2"/>
        </w:rPr>
        <w:t xml:space="preserve"> </w:t>
      </w:r>
      <w:r>
        <w:rPr>
          <w:b/>
        </w:rPr>
        <w:t>44</w:t>
      </w:r>
      <w:r>
        <w:rPr>
          <w:b/>
          <w:spacing w:val="-3"/>
        </w:rPr>
        <w:t xml:space="preserve"> </w:t>
      </w:r>
      <w:r>
        <w:rPr>
          <w:b/>
        </w:rPr>
        <w:t>Особливостей:</w:t>
      </w:r>
    </w:p>
    <w:p w:rsidR="00216E6E" w:rsidRDefault="00216E6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98"/>
      </w:tblGrid>
      <w:tr w:rsidR="00216E6E">
        <w:trPr>
          <w:trHeight w:val="1843"/>
        </w:trPr>
        <w:tc>
          <w:tcPr>
            <w:tcW w:w="4293" w:type="dxa"/>
          </w:tcPr>
          <w:p w:rsidR="00216E6E" w:rsidRDefault="00216E6E">
            <w:pPr>
              <w:pStyle w:val="TableParagraph"/>
              <w:ind w:left="0"/>
              <w:jc w:val="left"/>
              <w:rPr>
                <w:b/>
              </w:rPr>
            </w:pPr>
          </w:p>
          <w:p w:rsidR="00216E6E" w:rsidRDefault="00216E6E">
            <w:pPr>
              <w:pStyle w:val="TableParagraph"/>
              <w:spacing w:before="6"/>
              <w:ind w:left="0"/>
              <w:jc w:val="left"/>
              <w:rPr>
                <w:b/>
                <w:sz w:val="18"/>
              </w:rPr>
            </w:pPr>
          </w:p>
          <w:p w:rsidR="00216E6E" w:rsidRDefault="00154A08">
            <w:pPr>
              <w:pStyle w:val="TableParagraph"/>
              <w:ind w:left="9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ind w:left="76" w:right="29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Переможець торгів на виконання вимоги статті 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(підтвердження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відсутності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підстав)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урахуванням пункту 44 Особливостей у строк, що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перевищує чотири дні з дати оприлюднення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електронній системі </w:t>
            </w:r>
            <w:proofErr w:type="spellStart"/>
            <w:r>
              <w:rPr>
                <w:b/>
                <w:sz w:val="20"/>
              </w:rPr>
              <w:t>закупівель</w:t>
            </w:r>
            <w:proofErr w:type="spellEnd"/>
            <w:r>
              <w:rPr>
                <w:b/>
                <w:sz w:val="20"/>
              </w:rPr>
              <w:t xml:space="preserve"> повідомлення про намір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укласти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договір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закупівлю,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повинен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надати</w:t>
            </w:r>
          </w:p>
          <w:p w:rsidR="00216E6E" w:rsidRDefault="00154A08">
            <w:pPr>
              <w:pStyle w:val="TableParagraph"/>
              <w:spacing w:line="230" w:lineRule="atLeast"/>
              <w:ind w:left="369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замовнику документи шляхом оприлюднення їх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електронній системі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закупівель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216E6E">
        <w:trPr>
          <w:trHeight w:val="3077"/>
        </w:trPr>
        <w:tc>
          <w:tcPr>
            <w:tcW w:w="4293" w:type="dxa"/>
          </w:tcPr>
          <w:p w:rsidR="00216E6E" w:rsidRDefault="00154A08">
            <w:pPr>
              <w:pStyle w:val="TableParagraph"/>
              <w:spacing w:before="82"/>
              <w:ind w:left="244" w:right="217"/>
              <w:rPr>
                <w:sz w:val="20"/>
              </w:rPr>
            </w:pPr>
            <w:r>
              <w:rPr>
                <w:sz w:val="20"/>
              </w:rPr>
              <w:t>Службову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представляти його інтереси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 за вчинення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  <w:p w:rsidR="00216E6E" w:rsidRDefault="00154A08">
            <w:pPr>
              <w:pStyle w:val="TableParagraph"/>
              <w:spacing w:before="9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before="82"/>
              <w:ind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оголошення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відкритих торгів доступ до Єдиного державного реєстру осіб,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 є обмеженим, тому відповідно до пункту 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Особливостей переможець процедури закупівлі має надати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 довідку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Єдиного державного реєстру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вчинили корупційні 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те, що службову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 учасником представляти його інтереси під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</w:p>
          <w:p w:rsidR="00216E6E" w:rsidRDefault="00154A08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</w:tc>
      </w:tr>
      <w:tr w:rsidR="00216E6E">
        <w:trPr>
          <w:trHeight w:val="2631"/>
        </w:trPr>
        <w:tc>
          <w:tcPr>
            <w:tcW w:w="4293" w:type="dxa"/>
          </w:tcPr>
          <w:p w:rsidR="00216E6E" w:rsidRDefault="00154A08">
            <w:pPr>
              <w:pStyle w:val="TableParagraph"/>
              <w:spacing w:before="91"/>
              <w:ind w:left="244" w:right="220"/>
              <w:rPr>
                <w:sz w:val="20"/>
              </w:rPr>
            </w:pPr>
            <w:r>
              <w:rPr>
                <w:sz w:val="20"/>
              </w:rPr>
              <w:t>Фізична особа,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 (зокрема, пов’язане з хабарництвом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відмиванням коштів), судимість з якої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  <w:p w:rsidR="00216E6E" w:rsidRDefault="00154A08">
            <w:pPr>
              <w:pStyle w:val="TableParagraph"/>
              <w:spacing w:before="13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before="96"/>
              <w:ind w:right="72"/>
              <w:rPr>
                <w:sz w:val="20"/>
              </w:rPr>
            </w:pP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 з QR-кодом, про те, що фізична особа, яка 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 пропозицію,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притягується, не знятої чи не </w:t>
            </w:r>
            <w:proofErr w:type="spellStart"/>
            <w:r>
              <w:rPr>
                <w:sz w:val="20"/>
              </w:rPr>
              <w:t>погашеноїсудимості</w:t>
            </w:r>
            <w:proofErr w:type="spellEnd"/>
            <w:r>
              <w:rPr>
                <w:sz w:val="20"/>
              </w:rPr>
              <w:t xml:space="preserve"> не має 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розшуку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Департаментом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інформатизації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(територіальним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сервісних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</w:p>
          <w:p w:rsidR="00216E6E" w:rsidRDefault="00154A08"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тридцятиденної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Додатково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замовник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перевірити</w:t>
            </w:r>
          </w:p>
        </w:tc>
      </w:tr>
    </w:tbl>
    <w:p w:rsidR="00216E6E" w:rsidRDefault="00216E6E">
      <w:pPr>
        <w:spacing w:line="230" w:lineRule="exact"/>
        <w:rPr>
          <w:sz w:val="20"/>
        </w:rPr>
        <w:sectPr w:rsidR="00216E6E">
          <w:type w:val="continuous"/>
          <w:pgSz w:w="11910" w:h="16840"/>
          <w:pgMar w:top="600" w:right="580" w:bottom="0" w:left="1100" w:header="708" w:footer="708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98"/>
      </w:tblGrid>
      <w:tr w:rsidR="00216E6E">
        <w:trPr>
          <w:trHeight w:val="460"/>
        </w:trPr>
        <w:tc>
          <w:tcPr>
            <w:tcW w:w="4293" w:type="dxa"/>
          </w:tcPr>
          <w:p w:rsidR="00216E6E" w:rsidRDefault="00216E6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дану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офіційному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сайті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посиланням</w:t>
            </w:r>
          </w:p>
          <w:p w:rsidR="00216E6E" w:rsidRDefault="00DB4073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hyperlink r:id="rId6">
              <w:r w:rsidR="00154A08">
                <w:rPr>
                  <w:color w:val="0000FF"/>
                  <w:sz w:val="20"/>
                  <w:u w:val="single" w:color="0000FF"/>
                </w:rPr>
                <w:t>http://vytiah.mvs.gov.ua/app/landing</w:t>
              </w:r>
              <w:r w:rsidR="00154A08">
                <w:rPr>
                  <w:color w:val="0000FF"/>
                  <w:sz w:val="20"/>
                </w:rPr>
                <w:t>.</w:t>
              </w:r>
            </w:hyperlink>
          </w:p>
        </w:tc>
      </w:tr>
      <w:tr w:rsidR="00216E6E">
        <w:trPr>
          <w:trHeight w:val="3312"/>
        </w:trPr>
        <w:tc>
          <w:tcPr>
            <w:tcW w:w="4293" w:type="dxa"/>
          </w:tcPr>
          <w:p w:rsidR="00216E6E" w:rsidRDefault="00154A08">
            <w:pPr>
              <w:pStyle w:val="TableParagraph"/>
              <w:tabs>
                <w:tab w:val="left" w:pos="2127"/>
                <w:tab w:val="left" w:pos="3884"/>
              </w:tabs>
              <w:spacing w:before="82"/>
              <w:ind w:left="244" w:right="220"/>
              <w:rPr>
                <w:sz w:val="20"/>
              </w:rPr>
            </w:pPr>
            <w:r>
              <w:rPr>
                <w:sz w:val="20"/>
              </w:rPr>
              <w:t>Службова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 пропозицію (або уповноважена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переговорної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хабарництвом,</w:t>
            </w:r>
            <w:r>
              <w:rPr>
                <w:sz w:val="20"/>
              </w:rPr>
              <w:tab/>
              <w:t>шахрайством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відмиванням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</w:p>
          <w:p w:rsidR="00216E6E" w:rsidRDefault="00154A08">
            <w:pPr>
              <w:pStyle w:val="TableParagraph"/>
              <w:spacing w:before="9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before="86"/>
              <w:ind w:right="72"/>
              <w:rPr>
                <w:sz w:val="20"/>
              </w:rPr>
            </w:pP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 з QR-кодом, про те, що службова (посадова) 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притягується, не знятої чи не </w:t>
            </w:r>
            <w:proofErr w:type="spellStart"/>
            <w:r>
              <w:rPr>
                <w:sz w:val="20"/>
              </w:rPr>
              <w:t>погашеноїсудимості</w:t>
            </w:r>
            <w:proofErr w:type="spellEnd"/>
            <w:r>
              <w:rPr>
                <w:sz w:val="20"/>
              </w:rPr>
              <w:t xml:space="preserve"> не має 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розшуку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Департаментом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інформатизації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(територіальним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надання сервісних послуг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тридцятиденної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Додатково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перевірити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офіційному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сайті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посиланням</w:t>
            </w:r>
          </w:p>
          <w:p w:rsidR="00216E6E" w:rsidRDefault="00DB4073">
            <w:pPr>
              <w:pStyle w:val="TableParagraph"/>
              <w:spacing w:before="2" w:line="215" w:lineRule="exact"/>
              <w:jc w:val="left"/>
              <w:rPr>
                <w:sz w:val="20"/>
              </w:rPr>
            </w:pPr>
            <w:hyperlink r:id="rId7">
              <w:r w:rsidR="00154A08">
                <w:rPr>
                  <w:color w:val="0000FF"/>
                  <w:sz w:val="20"/>
                  <w:u w:val="single" w:color="0000FF"/>
                </w:rPr>
                <w:t>http://vytiah.mvs.gov.ua/app/landing</w:t>
              </w:r>
              <w:r w:rsidR="00154A08">
                <w:rPr>
                  <w:color w:val="0000FF"/>
                  <w:sz w:val="20"/>
                </w:rPr>
                <w:t>.</w:t>
              </w:r>
            </w:hyperlink>
          </w:p>
        </w:tc>
      </w:tr>
      <w:tr w:rsidR="00216E6E">
        <w:trPr>
          <w:trHeight w:val="4829"/>
        </w:trPr>
        <w:tc>
          <w:tcPr>
            <w:tcW w:w="4293" w:type="dxa"/>
          </w:tcPr>
          <w:p w:rsidR="00216E6E" w:rsidRDefault="00154A08">
            <w:pPr>
              <w:pStyle w:val="TableParagraph"/>
              <w:tabs>
                <w:tab w:val="left" w:pos="2345"/>
                <w:tab w:val="left" w:pos="2384"/>
                <w:tab w:val="left" w:pos="3265"/>
                <w:tab w:val="left" w:pos="3970"/>
              </w:tabs>
              <w:spacing w:before="77"/>
              <w:ind w:left="244" w:right="222"/>
              <w:rPr>
                <w:sz w:val="20"/>
              </w:rPr>
            </w:pPr>
            <w:r>
              <w:rPr>
                <w:sz w:val="20"/>
              </w:rPr>
              <w:t>Службова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(посадова)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 представляти його інтереси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 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вчинення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z w:val="20"/>
              </w:rPr>
              <w:tab/>
              <w:t>пов’язаного</w:t>
            </w:r>
            <w:r>
              <w:rPr>
                <w:sz w:val="20"/>
              </w:rPr>
              <w:tab/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використанням дитячої праці чи будь-якими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торгівлі людьми.</w:t>
            </w:r>
          </w:p>
          <w:p w:rsidR="00216E6E" w:rsidRDefault="00154A08">
            <w:pPr>
              <w:pStyle w:val="TableParagraph"/>
              <w:spacing w:before="14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21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Витяг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 та наявності судимості», в електронному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 з QR-кодом, про те, що службова (посадова) 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притягується, не знятої чи не </w:t>
            </w:r>
            <w:proofErr w:type="spellStart"/>
            <w:r>
              <w:rPr>
                <w:sz w:val="20"/>
              </w:rPr>
              <w:t>погашеноїсудимості</w:t>
            </w:r>
            <w:proofErr w:type="spellEnd"/>
            <w:r>
              <w:rPr>
                <w:sz w:val="20"/>
              </w:rPr>
              <w:t xml:space="preserve"> не має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розшуку не перебуває. Документ повинен бути видано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Департаментом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інформатизації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(територіальним органом з надання сервісних послуг МВС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тридцятиденної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подання документа. Додатково замовник може перевірити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дану інформацію на офіційному сайті МВС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посиланням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http://vytiah.mvs.gov.ua/app/landing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  <w:p w:rsidR="00216E6E" w:rsidRDefault="00154A0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208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Довідка в довільній формі</w:t>
            </w:r>
            <w:r>
              <w:rPr>
                <w:sz w:val="20"/>
              </w:rPr>
              <w:t>, яка містить інформацію 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 службову (посадову)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 переможця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яку уповноважено учасником представляти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інтереси під час проведення процедури закупівлі, не 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</w:p>
          <w:p w:rsidR="00216E6E" w:rsidRDefault="00154A0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будь-</w:t>
            </w:r>
            <w:proofErr w:type="spellStart"/>
            <w:r>
              <w:rPr>
                <w:sz w:val="20"/>
              </w:rPr>
              <w:t>якимиформами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торгівлі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216E6E">
        <w:trPr>
          <w:trHeight w:val="2846"/>
        </w:trPr>
        <w:tc>
          <w:tcPr>
            <w:tcW w:w="4293" w:type="dxa"/>
          </w:tcPr>
          <w:p w:rsidR="00216E6E" w:rsidRDefault="00154A08">
            <w:pPr>
              <w:pStyle w:val="TableParagraph"/>
              <w:spacing w:before="77"/>
              <w:ind w:left="244" w:right="220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 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призвело до його дострокового розірвання,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було застосовано санкції у вигляді 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трьох років з дати дострокового розірвання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</w:p>
          <w:p w:rsidR="00216E6E" w:rsidRDefault="00154A08">
            <w:pPr>
              <w:pStyle w:val="TableParagraph"/>
              <w:spacing w:before="18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(частина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498" w:type="dxa"/>
          </w:tcPr>
          <w:p w:rsidR="00216E6E" w:rsidRDefault="00154A08">
            <w:pPr>
              <w:pStyle w:val="TableParagraph"/>
              <w:spacing w:before="77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>Довідка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довільній формі</w:t>
            </w:r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яка 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переможцем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укладено договорів або про те, що переможець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закупівлі виконав свої зобов’язання за раніше </w:t>
            </w:r>
            <w:proofErr w:type="spellStart"/>
            <w:r>
              <w:rPr>
                <w:sz w:val="20"/>
              </w:rPr>
              <w:t>укладениміз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 договором про закупівлю, відповідно підстав,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 збитків не було або довідка з інформацією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підстави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відмови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процедурі</w:t>
            </w:r>
          </w:p>
          <w:p w:rsidR="00216E6E" w:rsidRDefault="00154A08">
            <w:pPr>
              <w:pStyle w:val="TableParagraph"/>
              <w:spacing w:before="5"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закупівлі.</w:t>
            </w:r>
          </w:p>
        </w:tc>
      </w:tr>
    </w:tbl>
    <w:p w:rsidR="00216E6E" w:rsidRDefault="00216E6E">
      <w:pPr>
        <w:spacing w:before="2"/>
        <w:rPr>
          <w:b/>
          <w:sz w:val="11"/>
        </w:rPr>
      </w:pPr>
    </w:p>
    <w:p w:rsidR="00216E6E" w:rsidRDefault="00154A08">
      <w:pPr>
        <w:spacing w:before="93"/>
        <w:ind w:left="100" w:right="106"/>
        <w:jc w:val="both"/>
        <w:rPr>
          <w:i/>
          <w:sz w:val="20"/>
        </w:rPr>
      </w:pPr>
      <w:r>
        <w:rPr>
          <w:i/>
          <w:sz w:val="20"/>
        </w:rPr>
        <w:t>Фізична особа-підприємець, яка на умовах трудового договору наймає працівників для сприяння йому у здійсненні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підприємницької діяльності – це службова (посадова) особа. Фізична особа-підприємець, яка НЕ наймає працівників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 умовах трудового договору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сприяння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йому 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здійсненні підприємницької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діяльності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 фізична особа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(відповідно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Міністерства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юстиції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03.11.2006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22-48-548).</w:t>
      </w:r>
    </w:p>
    <w:sectPr w:rsidR="00216E6E">
      <w:pgSz w:w="11910" w:h="16840"/>
      <w:pgMar w:top="820" w:right="58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C6C"/>
    <w:multiLevelType w:val="hybridMultilevel"/>
    <w:tmpl w:val="C0561A70"/>
    <w:lvl w:ilvl="0" w:tplc="939427DE">
      <w:start w:val="1"/>
      <w:numFmt w:val="decimal"/>
      <w:lvlText w:val="%1."/>
      <w:lvlJc w:val="left"/>
      <w:pPr>
        <w:ind w:left="316" w:hanging="279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B24CA054">
      <w:numFmt w:val="bullet"/>
      <w:lvlText w:val="•"/>
      <w:lvlJc w:val="left"/>
      <w:pPr>
        <w:ind w:left="1310" w:hanging="279"/>
      </w:pPr>
      <w:rPr>
        <w:rFonts w:hint="default"/>
        <w:lang w:val="uk-UA" w:eastAsia="en-US" w:bidi="ar-SA"/>
      </w:rPr>
    </w:lvl>
    <w:lvl w:ilvl="2" w:tplc="2C5C18A2">
      <w:numFmt w:val="bullet"/>
      <w:lvlText w:val="•"/>
      <w:lvlJc w:val="left"/>
      <w:pPr>
        <w:ind w:left="2301" w:hanging="279"/>
      </w:pPr>
      <w:rPr>
        <w:rFonts w:hint="default"/>
        <w:lang w:val="uk-UA" w:eastAsia="en-US" w:bidi="ar-SA"/>
      </w:rPr>
    </w:lvl>
    <w:lvl w:ilvl="3" w:tplc="60147220">
      <w:numFmt w:val="bullet"/>
      <w:lvlText w:val="•"/>
      <w:lvlJc w:val="left"/>
      <w:pPr>
        <w:ind w:left="3292" w:hanging="279"/>
      </w:pPr>
      <w:rPr>
        <w:rFonts w:hint="default"/>
        <w:lang w:val="uk-UA" w:eastAsia="en-US" w:bidi="ar-SA"/>
      </w:rPr>
    </w:lvl>
    <w:lvl w:ilvl="4" w:tplc="A7B8B8AA">
      <w:numFmt w:val="bullet"/>
      <w:lvlText w:val="•"/>
      <w:lvlJc w:val="left"/>
      <w:pPr>
        <w:ind w:left="4283" w:hanging="279"/>
      </w:pPr>
      <w:rPr>
        <w:rFonts w:hint="default"/>
        <w:lang w:val="uk-UA" w:eastAsia="en-US" w:bidi="ar-SA"/>
      </w:rPr>
    </w:lvl>
    <w:lvl w:ilvl="5" w:tplc="065C3064">
      <w:numFmt w:val="bullet"/>
      <w:lvlText w:val="•"/>
      <w:lvlJc w:val="left"/>
      <w:pPr>
        <w:ind w:left="5274" w:hanging="279"/>
      </w:pPr>
      <w:rPr>
        <w:rFonts w:hint="default"/>
        <w:lang w:val="uk-UA" w:eastAsia="en-US" w:bidi="ar-SA"/>
      </w:rPr>
    </w:lvl>
    <w:lvl w:ilvl="6" w:tplc="C76AC0DA">
      <w:numFmt w:val="bullet"/>
      <w:lvlText w:val="•"/>
      <w:lvlJc w:val="left"/>
      <w:pPr>
        <w:ind w:left="6265" w:hanging="279"/>
      </w:pPr>
      <w:rPr>
        <w:rFonts w:hint="default"/>
        <w:lang w:val="uk-UA" w:eastAsia="en-US" w:bidi="ar-SA"/>
      </w:rPr>
    </w:lvl>
    <w:lvl w:ilvl="7" w:tplc="2708E86A">
      <w:numFmt w:val="bullet"/>
      <w:lvlText w:val="•"/>
      <w:lvlJc w:val="left"/>
      <w:pPr>
        <w:ind w:left="7256" w:hanging="279"/>
      </w:pPr>
      <w:rPr>
        <w:rFonts w:hint="default"/>
        <w:lang w:val="uk-UA" w:eastAsia="en-US" w:bidi="ar-SA"/>
      </w:rPr>
    </w:lvl>
    <w:lvl w:ilvl="8" w:tplc="AD6A5018">
      <w:numFmt w:val="bullet"/>
      <w:lvlText w:val="•"/>
      <w:lvlJc w:val="left"/>
      <w:pPr>
        <w:ind w:left="82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72A738D0"/>
    <w:multiLevelType w:val="hybridMultilevel"/>
    <w:tmpl w:val="891681E8"/>
    <w:lvl w:ilvl="0" w:tplc="2DB6E8A2">
      <w:start w:val="1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0C22D3BE">
      <w:numFmt w:val="bullet"/>
      <w:lvlText w:val="•"/>
      <w:lvlJc w:val="left"/>
      <w:pPr>
        <w:ind w:left="638" w:hanging="250"/>
      </w:pPr>
      <w:rPr>
        <w:rFonts w:hint="default"/>
        <w:lang w:val="uk-UA" w:eastAsia="en-US" w:bidi="ar-SA"/>
      </w:rPr>
    </w:lvl>
    <w:lvl w:ilvl="2" w:tplc="9A78922C">
      <w:numFmt w:val="bullet"/>
      <w:lvlText w:val="•"/>
      <w:lvlJc w:val="left"/>
      <w:pPr>
        <w:ind w:left="1177" w:hanging="250"/>
      </w:pPr>
      <w:rPr>
        <w:rFonts w:hint="default"/>
        <w:lang w:val="uk-UA" w:eastAsia="en-US" w:bidi="ar-SA"/>
      </w:rPr>
    </w:lvl>
    <w:lvl w:ilvl="3" w:tplc="2476269C">
      <w:numFmt w:val="bullet"/>
      <w:lvlText w:val="•"/>
      <w:lvlJc w:val="left"/>
      <w:pPr>
        <w:ind w:left="1716" w:hanging="250"/>
      </w:pPr>
      <w:rPr>
        <w:rFonts w:hint="default"/>
        <w:lang w:val="uk-UA" w:eastAsia="en-US" w:bidi="ar-SA"/>
      </w:rPr>
    </w:lvl>
    <w:lvl w:ilvl="4" w:tplc="A858E722">
      <w:numFmt w:val="bullet"/>
      <w:lvlText w:val="•"/>
      <w:lvlJc w:val="left"/>
      <w:pPr>
        <w:ind w:left="2255" w:hanging="250"/>
      </w:pPr>
      <w:rPr>
        <w:rFonts w:hint="default"/>
        <w:lang w:val="uk-UA" w:eastAsia="en-US" w:bidi="ar-SA"/>
      </w:rPr>
    </w:lvl>
    <w:lvl w:ilvl="5" w:tplc="9036F4FE">
      <w:numFmt w:val="bullet"/>
      <w:lvlText w:val="•"/>
      <w:lvlJc w:val="left"/>
      <w:pPr>
        <w:ind w:left="2794" w:hanging="250"/>
      </w:pPr>
      <w:rPr>
        <w:rFonts w:hint="default"/>
        <w:lang w:val="uk-UA" w:eastAsia="en-US" w:bidi="ar-SA"/>
      </w:rPr>
    </w:lvl>
    <w:lvl w:ilvl="6" w:tplc="64E63C2E">
      <w:numFmt w:val="bullet"/>
      <w:lvlText w:val="•"/>
      <w:lvlJc w:val="left"/>
      <w:pPr>
        <w:ind w:left="3332" w:hanging="250"/>
      </w:pPr>
      <w:rPr>
        <w:rFonts w:hint="default"/>
        <w:lang w:val="uk-UA" w:eastAsia="en-US" w:bidi="ar-SA"/>
      </w:rPr>
    </w:lvl>
    <w:lvl w:ilvl="7" w:tplc="3E105916">
      <w:numFmt w:val="bullet"/>
      <w:lvlText w:val="•"/>
      <w:lvlJc w:val="left"/>
      <w:pPr>
        <w:ind w:left="3871" w:hanging="250"/>
      </w:pPr>
      <w:rPr>
        <w:rFonts w:hint="default"/>
        <w:lang w:val="uk-UA" w:eastAsia="en-US" w:bidi="ar-SA"/>
      </w:rPr>
    </w:lvl>
    <w:lvl w:ilvl="8" w:tplc="03AA0A78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6E6E"/>
    <w:rsid w:val="00154A08"/>
    <w:rsid w:val="00216E6E"/>
    <w:rsid w:val="00D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9CB"/>
  <w15:docId w15:val="{EEEB9C00-23A4-409E-BF1C-726B4AC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9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316" w:right="2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app/la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tiah.mvs.gov.ua/app/landing" TargetMode="External"/><Relationship Id="rId5" Type="http://schemas.openxmlformats.org/officeDocument/2006/relationships/hyperlink" Target="http://zakon5.rada.gov.ua/laws/show/922-19/print14464830301580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5356</Words>
  <Characters>3054</Characters>
  <Application>Microsoft Office Word</Application>
  <DocSecurity>0</DocSecurity>
  <Lines>25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PC 3</cp:lastModifiedBy>
  <cp:revision>4</cp:revision>
  <dcterms:created xsi:type="dcterms:W3CDTF">2022-11-04T09:31:00Z</dcterms:created>
  <dcterms:modified xsi:type="dcterms:W3CDTF">2022-11-04T09:39:00Z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