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B8" w:rsidRPr="000A2061" w:rsidRDefault="000A2061" w:rsidP="000A2061">
      <w:pPr>
        <w:jc w:val="center"/>
        <w:rPr>
          <w:rFonts w:ascii="Times New Roman" w:hAnsi="Times New Roman" w:cs="Times New Roman"/>
          <w:lang w:val="uk-UA"/>
        </w:rPr>
      </w:pPr>
      <w:r w:rsidRPr="000A2061">
        <w:rPr>
          <w:rFonts w:ascii="Times New Roman" w:hAnsi="Times New Roman" w:cs="Times New Roman"/>
          <w:lang w:val="uk-UA"/>
        </w:rPr>
        <w:t>Зміни що вносяться до тендерної документації</w:t>
      </w:r>
    </w:p>
    <w:tbl>
      <w:tblPr>
        <w:tblStyle w:val="a3"/>
        <w:tblW w:w="0" w:type="auto"/>
        <w:tblLook w:val="04A0"/>
      </w:tblPr>
      <w:tblGrid>
        <w:gridCol w:w="4508"/>
        <w:gridCol w:w="4508"/>
      </w:tblGrid>
      <w:tr w:rsidR="000A2061" w:rsidRPr="000A2061" w:rsidTr="000A2061">
        <w:tc>
          <w:tcPr>
            <w:tcW w:w="4508" w:type="dxa"/>
          </w:tcPr>
          <w:p w:rsidR="000A2061" w:rsidRPr="008271E9" w:rsidRDefault="000A2061" w:rsidP="000A2061">
            <w:pPr>
              <w:rPr>
                <w:rFonts w:ascii="Times New Roman" w:hAnsi="Times New Roman" w:cs="Times New Roman"/>
                <w:b/>
                <w:bCs/>
                <w:lang w:val="uk-UA"/>
              </w:rPr>
            </w:pPr>
            <w:r w:rsidRPr="008271E9">
              <w:rPr>
                <w:rFonts w:ascii="Times New Roman" w:hAnsi="Times New Roman" w:cs="Times New Roman"/>
                <w:b/>
                <w:bCs/>
                <w:lang w:val="uk-UA"/>
              </w:rPr>
              <w:t>Редакція від 1</w:t>
            </w:r>
            <w:r w:rsidR="007C256A" w:rsidRPr="008271E9">
              <w:rPr>
                <w:rFonts w:ascii="Times New Roman" w:hAnsi="Times New Roman" w:cs="Times New Roman"/>
                <w:b/>
                <w:bCs/>
                <w:lang w:val="uk-UA"/>
              </w:rPr>
              <w:t>1</w:t>
            </w:r>
            <w:r w:rsidRPr="008271E9">
              <w:rPr>
                <w:rFonts w:ascii="Times New Roman" w:hAnsi="Times New Roman" w:cs="Times New Roman"/>
                <w:b/>
                <w:bCs/>
                <w:lang w:val="uk-UA"/>
              </w:rPr>
              <w:t>.</w:t>
            </w:r>
            <w:r w:rsidR="007C256A" w:rsidRPr="008271E9">
              <w:rPr>
                <w:rFonts w:ascii="Times New Roman" w:hAnsi="Times New Roman" w:cs="Times New Roman"/>
                <w:b/>
                <w:bCs/>
                <w:lang w:val="uk-UA"/>
              </w:rPr>
              <w:t>10</w:t>
            </w:r>
            <w:r w:rsidRPr="008271E9">
              <w:rPr>
                <w:rFonts w:ascii="Times New Roman" w:hAnsi="Times New Roman" w:cs="Times New Roman"/>
                <w:b/>
                <w:bCs/>
                <w:lang w:val="uk-UA"/>
              </w:rPr>
              <w:t>.2023</w:t>
            </w:r>
          </w:p>
        </w:tc>
        <w:tc>
          <w:tcPr>
            <w:tcW w:w="4508" w:type="dxa"/>
          </w:tcPr>
          <w:p w:rsidR="000A2061" w:rsidRPr="008271E9" w:rsidRDefault="000A2061" w:rsidP="000A2061">
            <w:pPr>
              <w:jc w:val="center"/>
              <w:rPr>
                <w:rFonts w:ascii="Times New Roman" w:hAnsi="Times New Roman" w:cs="Times New Roman"/>
                <w:b/>
                <w:bCs/>
                <w:lang w:val="uk-UA"/>
              </w:rPr>
            </w:pPr>
            <w:r w:rsidRPr="008271E9">
              <w:rPr>
                <w:rFonts w:ascii="Times New Roman" w:hAnsi="Times New Roman" w:cs="Times New Roman"/>
                <w:b/>
                <w:bCs/>
                <w:lang w:val="uk-UA"/>
              </w:rPr>
              <w:t>Зміни що вносяться</w:t>
            </w:r>
          </w:p>
        </w:tc>
      </w:tr>
      <w:tr w:rsidR="000A2061" w:rsidRPr="000A2061" w:rsidTr="009A3190">
        <w:tc>
          <w:tcPr>
            <w:tcW w:w="9016" w:type="dxa"/>
            <w:gridSpan w:val="2"/>
          </w:tcPr>
          <w:p w:rsidR="000A2061" w:rsidRPr="000A2061" w:rsidRDefault="000A2061" w:rsidP="000A2061">
            <w:pPr>
              <w:jc w:val="center"/>
              <w:rPr>
                <w:rFonts w:ascii="Times New Roman" w:hAnsi="Times New Roman" w:cs="Times New Roman"/>
                <w:b/>
                <w:bCs/>
                <w:lang w:val="uk-UA"/>
              </w:rPr>
            </w:pPr>
            <w:r w:rsidRPr="000A2061">
              <w:rPr>
                <w:rFonts w:ascii="Times New Roman" w:hAnsi="Times New Roman" w:cs="Times New Roman"/>
                <w:b/>
                <w:bCs/>
                <w:lang w:val="uk-UA"/>
              </w:rPr>
              <w:t>П.1 розділу 4 ТД</w:t>
            </w:r>
          </w:p>
        </w:tc>
      </w:tr>
      <w:tr w:rsidR="000A2061" w:rsidRPr="007717B6" w:rsidTr="000A2061">
        <w:tc>
          <w:tcPr>
            <w:tcW w:w="4508" w:type="dxa"/>
          </w:tcPr>
          <w:p w:rsidR="000A2061" w:rsidRPr="000A2061" w:rsidRDefault="00D17316" w:rsidP="000A2061">
            <w:pPr>
              <w:rPr>
                <w:rFonts w:ascii="Times New Roman" w:hAnsi="Times New Roman" w:cs="Times New Roman"/>
                <w:strike/>
                <w:lang w:val="uk-UA"/>
              </w:rPr>
            </w:pPr>
            <w:r w:rsidRPr="00D17316">
              <w:rPr>
                <w:rFonts w:ascii="Times New Roman" w:hAnsi="Times New Roman" w:cs="Times New Roman"/>
                <w:strike/>
                <w:lang w:val="uk-UA"/>
              </w:rPr>
              <w:t>Кінцевий строк подання тендерних пропозицій:16.10.2023 до 00:00</w:t>
            </w:r>
          </w:p>
        </w:tc>
        <w:tc>
          <w:tcPr>
            <w:tcW w:w="4508" w:type="dxa"/>
          </w:tcPr>
          <w:p w:rsidR="000A2061" w:rsidRPr="000A2061" w:rsidRDefault="00D17316" w:rsidP="000A2061">
            <w:pPr>
              <w:jc w:val="center"/>
              <w:rPr>
                <w:rFonts w:ascii="Times New Roman" w:hAnsi="Times New Roman" w:cs="Times New Roman"/>
                <w:lang w:val="uk-UA"/>
              </w:rPr>
            </w:pPr>
            <w:r w:rsidRPr="00D17316">
              <w:rPr>
                <w:rFonts w:ascii="Times New Roman" w:hAnsi="Times New Roman" w:cs="Times New Roman"/>
                <w:lang w:val="uk-UA"/>
              </w:rPr>
              <w:t>Кінцевий строк подання тендерних пропозицій:1</w:t>
            </w:r>
            <w:r>
              <w:rPr>
                <w:rFonts w:ascii="Times New Roman" w:hAnsi="Times New Roman" w:cs="Times New Roman"/>
                <w:lang w:val="uk-UA"/>
              </w:rPr>
              <w:t>7</w:t>
            </w:r>
            <w:r w:rsidRPr="00D17316">
              <w:rPr>
                <w:rFonts w:ascii="Times New Roman" w:hAnsi="Times New Roman" w:cs="Times New Roman"/>
                <w:lang w:val="uk-UA"/>
              </w:rPr>
              <w:t>.10.2023 до 00:00</w:t>
            </w:r>
          </w:p>
        </w:tc>
      </w:tr>
      <w:tr w:rsidR="000A2061" w:rsidRPr="007717B6" w:rsidTr="00732DC7">
        <w:tc>
          <w:tcPr>
            <w:tcW w:w="9016" w:type="dxa"/>
            <w:gridSpan w:val="2"/>
          </w:tcPr>
          <w:p w:rsidR="000A2061" w:rsidRPr="000A2061" w:rsidRDefault="0034405E" w:rsidP="000A2061">
            <w:pPr>
              <w:jc w:val="center"/>
              <w:rPr>
                <w:rFonts w:ascii="Times New Roman" w:hAnsi="Times New Roman" w:cs="Times New Roman"/>
                <w:b/>
                <w:bCs/>
                <w:highlight w:val="yellow"/>
                <w:lang w:val="uk-UA"/>
              </w:rPr>
            </w:pPr>
            <w:r>
              <w:rPr>
                <w:rFonts w:ascii="Times New Roman" w:hAnsi="Times New Roman" w:cs="Times New Roman"/>
                <w:b/>
                <w:bCs/>
                <w:lang w:val="uk-UA"/>
              </w:rPr>
              <w:t xml:space="preserve">п.п.3.2 </w:t>
            </w:r>
            <w:r w:rsidR="000A2061" w:rsidRPr="006B1872">
              <w:rPr>
                <w:rFonts w:ascii="Times New Roman" w:hAnsi="Times New Roman" w:cs="Times New Roman"/>
                <w:b/>
                <w:bCs/>
                <w:lang w:val="uk-UA"/>
              </w:rPr>
              <w:t>П.5 розділу 3 ТД</w:t>
            </w:r>
          </w:p>
        </w:tc>
      </w:tr>
      <w:tr w:rsidR="000A2061" w:rsidRPr="007C256A" w:rsidTr="000A2061">
        <w:tc>
          <w:tcPr>
            <w:tcW w:w="4508" w:type="dxa"/>
          </w:tcPr>
          <w:p w:rsidR="000A2061" w:rsidRPr="000A2061" w:rsidRDefault="0034405E" w:rsidP="000A2061">
            <w:pPr>
              <w:rPr>
                <w:rFonts w:ascii="Times New Roman" w:hAnsi="Times New Roman" w:cs="Times New Roman"/>
                <w:strike/>
                <w:lang w:val="uk-UA"/>
              </w:rPr>
            </w:pPr>
            <w:r w:rsidRPr="0034405E">
              <w:rPr>
                <w:rFonts w:ascii="Times New Roman" w:hAnsi="Times New Roman" w:cs="Times New Roman"/>
                <w:strike/>
                <w:lang w:val="uk-UA"/>
              </w:rPr>
              <w:t>-</w:t>
            </w:r>
            <w:r w:rsidRPr="0034405E">
              <w:rPr>
                <w:rFonts w:ascii="Times New Roman" w:hAnsi="Times New Roman" w:cs="Times New Roman"/>
                <w:strike/>
                <w:lang w:val="uk-UA"/>
              </w:rPr>
              <w:tab/>
              <w:t>водіїв навантажувача із розрядом не менше 4-го – не менше одної особи.</w:t>
            </w:r>
          </w:p>
        </w:tc>
        <w:tc>
          <w:tcPr>
            <w:tcW w:w="4508" w:type="dxa"/>
          </w:tcPr>
          <w:p w:rsidR="000A2061" w:rsidRPr="000A2061" w:rsidRDefault="0034405E" w:rsidP="000A2061">
            <w:pPr>
              <w:jc w:val="center"/>
              <w:rPr>
                <w:rFonts w:ascii="Times New Roman" w:hAnsi="Times New Roman" w:cs="Times New Roman"/>
                <w:highlight w:val="yellow"/>
                <w:lang w:val="uk-UA"/>
              </w:rPr>
            </w:pPr>
            <w:r>
              <w:rPr>
                <w:rFonts w:ascii="Times New Roman" w:hAnsi="Times New Roman" w:cs="Times New Roman"/>
                <w:lang w:val="uk-UA"/>
              </w:rPr>
              <w:t>Вимогу видалено</w:t>
            </w:r>
          </w:p>
        </w:tc>
      </w:tr>
      <w:tr w:rsidR="000A2061" w:rsidRPr="000A2061" w:rsidTr="002C0963">
        <w:tc>
          <w:tcPr>
            <w:tcW w:w="9016" w:type="dxa"/>
            <w:gridSpan w:val="2"/>
          </w:tcPr>
          <w:p w:rsidR="000A2061" w:rsidRPr="000A2061" w:rsidRDefault="000A2061" w:rsidP="000A2061">
            <w:pPr>
              <w:jc w:val="center"/>
              <w:rPr>
                <w:rFonts w:ascii="Times New Roman" w:hAnsi="Times New Roman" w:cs="Times New Roman"/>
                <w:b/>
                <w:bCs/>
                <w:highlight w:val="yellow"/>
                <w:lang w:val="uk-UA"/>
              </w:rPr>
            </w:pPr>
            <w:r w:rsidRPr="006B1872">
              <w:rPr>
                <w:rFonts w:ascii="Times New Roman" w:hAnsi="Times New Roman" w:cs="Times New Roman"/>
                <w:b/>
                <w:bCs/>
                <w:lang w:val="uk-UA"/>
              </w:rPr>
              <w:t>Додаток 1 до тендерної ТД</w:t>
            </w:r>
          </w:p>
        </w:tc>
      </w:tr>
      <w:tr w:rsidR="000A2061" w:rsidRPr="007C256A" w:rsidTr="000A2061">
        <w:tc>
          <w:tcPr>
            <w:tcW w:w="4508" w:type="dxa"/>
          </w:tcPr>
          <w:p w:rsidR="007C256A" w:rsidRPr="007717B6" w:rsidRDefault="007C256A" w:rsidP="007C256A">
            <w:pPr>
              <w:ind w:left="142" w:right="131" w:firstLine="141"/>
              <w:jc w:val="both"/>
              <w:rPr>
                <w:strike/>
                <w:lang w:val="uk-UA"/>
              </w:rPr>
            </w:pPr>
            <w:r w:rsidRPr="00B667C9">
              <w:rPr>
                <w:strike/>
                <w:lang w:val="uk-UA"/>
              </w:rPr>
              <w:t xml:space="preserve">- </w:t>
            </w:r>
            <w:r w:rsidRPr="007717B6">
              <w:rPr>
                <w:strike/>
                <w:lang w:val="uk-UA"/>
              </w:rPr>
              <w:t xml:space="preserve">Учасником надається у складі пропозиції чинний висновок (-ки) за результатом санітарно-епідеміологічної експертизи </w:t>
            </w:r>
            <w:bookmarkStart w:id="0" w:name="_Hlk144108984"/>
            <w:r w:rsidRPr="007717B6">
              <w:rPr>
                <w:strike/>
                <w:lang w:val="uk-UA"/>
              </w:rPr>
              <w:t xml:space="preserve">на </w:t>
            </w:r>
            <w:bookmarkStart w:id="1" w:name="_Hlk147518409"/>
            <w:r w:rsidRPr="007717B6">
              <w:rPr>
                <w:strike/>
                <w:lang w:val="uk-UA"/>
              </w:rPr>
              <w:t>асфальтобетонну суміш, що буде використовуватися при виконанні робіт/наданні послуг</w:t>
            </w:r>
            <w:bookmarkEnd w:id="0"/>
            <w:bookmarkEnd w:id="1"/>
            <w:r w:rsidRPr="007717B6">
              <w:rPr>
                <w:strike/>
                <w:lang w:val="uk-UA"/>
              </w:rPr>
              <w:t>, що виданий (-ні) Держпродспоживслужбою, або акредитованою/атестованою санітарно-промисловою лабораторією (додатково надати атестат, або свідоцтво про атестацію на санітарно-промислову лабораторію та звіт за результатом санітарно-гігієнічної оцінки), які підтверджують відповідність вимогам діючого санітарно-гігієнічного законодавства України та можливість їх (сумішей) використання у заявленій сфері застосування».У випадку, якщо станом на дату подання тендерної пропозиції відсутня можливість отримання чинного висновку (-ків) за результатом санітарно-епідеміологічної експертизи, учасником надається договір на проведення санітарно-епідеміологічної експертизи асфальтобетонної суміші, укладений учасником з Держспоживслужбою або компетентною вимірювальною санітарно-промисловою лабораторією [надати копію свідоцтва про атестацію])або лист Держпродспоживслужби про те, що асфальтобетонна суміш, що буде використовуватися при виконанні робіт/наданні послуг не підлягає санітарно-епідеміологічній експертизі.</w:t>
            </w:r>
          </w:p>
          <w:p w:rsidR="00F258BA" w:rsidRPr="007717B6" w:rsidRDefault="00F258BA" w:rsidP="007C256A">
            <w:pPr>
              <w:ind w:left="142" w:right="131" w:firstLine="141"/>
              <w:jc w:val="both"/>
              <w:rPr>
                <w:strike/>
                <w:lang w:val="uk-UA"/>
              </w:rPr>
            </w:pPr>
          </w:p>
          <w:p w:rsidR="007C256A" w:rsidRPr="007717B6" w:rsidRDefault="007C256A" w:rsidP="007C256A">
            <w:pPr>
              <w:ind w:left="142" w:right="131" w:firstLine="141"/>
              <w:jc w:val="both"/>
              <w:rPr>
                <w:strike/>
                <w:lang w:val="uk-UA"/>
              </w:rPr>
            </w:pPr>
            <w:r w:rsidRPr="007717B6">
              <w:rPr>
                <w:strike/>
                <w:lang w:val="uk-UA"/>
              </w:rPr>
              <w:t xml:space="preserve">- Учасником надається у складі пропозиції надається чинний паспорт (-ти)/сертифікат радіаційної якості на емульсію бітумну, що буде використовуватися при виконанні робіт/наданні послуг, який (-і) підтверджують її відповідність І класу  </w:t>
            </w:r>
            <w:r w:rsidRPr="007717B6">
              <w:rPr>
                <w:strike/>
                <w:lang w:val="uk-UA"/>
              </w:rPr>
              <w:lastRenderedPageBreak/>
              <w:t>радіаційної безпеки (для всіх видів будівництва без обмежень) видані випробовувальною лабораторією, компетентність якої підтвердженою шляхом акредитації або іншим способом, визначеним законодавством. Також, надати копію атестату (або іншого документу визначеного законодавством), що підтверджує компетентність випробовувальної лабораторії на дослідження будівельних матеріалів за показниками радіаційної безпеки.</w:t>
            </w:r>
          </w:p>
          <w:p w:rsidR="007C256A" w:rsidRPr="007717B6" w:rsidRDefault="007C256A" w:rsidP="007C256A">
            <w:pPr>
              <w:ind w:left="142" w:right="131" w:firstLine="141"/>
              <w:jc w:val="both"/>
              <w:rPr>
                <w:i/>
                <w:iCs/>
                <w:strike/>
                <w:lang w:val="uk-UA"/>
              </w:rPr>
            </w:pPr>
            <w:r w:rsidRPr="007717B6">
              <w:rPr>
                <w:i/>
                <w:iCs/>
                <w:strike/>
                <w:lang w:val="uk-UA"/>
              </w:rPr>
              <w:t>або</w:t>
            </w:r>
          </w:p>
          <w:p w:rsidR="007C256A" w:rsidRPr="00B667C9" w:rsidRDefault="007C256A" w:rsidP="007C256A">
            <w:pPr>
              <w:ind w:left="142" w:right="131" w:firstLine="141"/>
              <w:jc w:val="both"/>
              <w:rPr>
                <w:strike/>
                <w:lang w:val="uk-UA"/>
              </w:rPr>
            </w:pPr>
            <w:r w:rsidRPr="007717B6">
              <w:rPr>
                <w:strike/>
                <w:lang w:val="uk-UA"/>
              </w:rPr>
              <w:t>У випадку, якщо станом на дату подання тенедрної пропозиції в учасника відсутній (-і) вказаний паспорт (-ти)/сертифікат радіаційної якості, Учасником надається чинний договір укладений учасником з випробовувальною лабораторією на проведення досліджень емульсії за показниками радіаційної безпеки. Також, надати копію атестату (або іншого документу визначеного законодавством), що підтверджує компетентність випробовувальної лабораторії на дослідження будівельних матеріалів за показниками радіаційної безпеки.</w:t>
            </w:r>
          </w:p>
          <w:p w:rsidR="000A2061" w:rsidRPr="000A2061" w:rsidRDefault="000A2061" w:rsidP="000A2061">
            <w:pPr>
              <w:rPr>
                <w:rFonts w:ascii="Times New Roman" w:hAnsi="Times New Roman" w:cs="Times New Roman"/>
                <w:lang w:val="uk-UA"/>
              </w:rPr>
            </w:pPr>
          </w:p>
        </w:tc>
        <w:tc>
          <w:tcPr>
            <w:tcW w:w="4508" w:type="dxa"/>
          </w:tcPr>
          <w:p w:rsidR="000A2061" w:rsidRPr="000A2061" w:rsidRDefault="007C256A" w:rsidP="000A2061">
            <w:pPr>
              <w:jc w:val="center"/>
              <w:rPr>
                <w:rFonts w:ascii="Times New Roman" w:hAnsi="Times New Roman" w:cs="Times New Roman"/>
                <w:lang w:val="uk-UA"/>
              </w:rPr>
            </w:pPr>
            <w:r>
              <w:rPr>
                <w:rFonts w:ascii="Times New Roman" w:hAnsi="Times New Roman" w:cs="Times New Roman"/>
                <w:lang w:val="uk-UA"/>
              </w:rPr>
              <w:lastRenderedPageBreak/>
              <w:t>Вимогу видалено</w:t>
            </w:r>
          </w:p>
        </w:tc>
      </w:tr>
    </w:tbl>
    <w:p w:rsidR="000A2061" w:rsidRPr="000A2061" w:rsidRDefault="000A2061" w:rsidP="000A2061">
      <w:pPr>
        <w:jc w:val="center"/>
        <w:rPr>
          <w:rFonts w:ascii="Times New Roman" w:hAnsi="Times New Roman" w:cs="Times New Roman"/>
          <w:lang w:val="uk-UA"/>
        </w:rPr>
      </w:pPr>
    </w:p>
    <w:sectPr w:rsidR="000A2061" w:rsidRPr="000A2061" w:rsidSect="00B406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DBA"/>
    <w:rsid w:val="000A2061"/>
    <w:rsid w:val="000E2EDC"/>
    <w:rsid w:val="0034405E"/>
    <w:rsid w:val="00412065"/>
    <w:rsid w:val="006B1872"/>
    <w:rsid w:val="007717B6"/>
    <w:rsid w:val="007C256A"/>
    <w:rsid w:val="008271E9"/>
    <w:rsid w:val="00830DBA"/>
    <w:rsid w:val="00841D78"/>
    <w:rsid w:val="008F30B8"/>
    <w:rsid w:val="00B40654"/>
    <w:rsid w:val="00D17316"/>
    <w:rsid w:val="00F258BA"/>
    <w:rsid w:val="00F96E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2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3</cp:revision>
  <dcterms:created xsi:type="dcterms:W3CDTF">2023-10-12T10:49:00Z</dcterms:created>
  <dcterms:modified xsi:type="dcterms:W3CDTF">2023-10-12T16:06:00Z</dcterms:modified>
</cp:coreProperties>
</file>