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proofErr w:type="spellStart"/>
      <w:r w:rsidRPr="005E67C2">
        <w:rPr>
          <w:b/>
          <w:i/>
          <w:lang w:eastAsia="ru-RU"/>
        </w:rPr>
        <w:t>Проєкт</w:t>
      </w:r>
      <w:proofErr w:type="spellEnd"/>
      <w:r w:rsidRPr="005E67C2">
        <w:rPr>
          <w:b/>
          <w:i/>
          <w:lang w:eastAsia="ru-RU"/>
        </w:rPr>
        <w:t xml:space="preserve">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6C2CEBEE"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proofErr w:type="spellStart"/>
      <w:r w:rsidRPr="005E67C2">
        <w:rPr>
          <w:sz w:val="22"/>
          <w:szCs w:val="22"/>
          <w:lang w:eastAsia="ru-RU"/>
        </w:rPr>
        <w:t>Покровськ</w:t>
      </w:r>
      <w:proofErr w:type="spellEnd"/>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18D03E0B"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B25503">
        <w:rPr>
          <w:rFonts w:eastAsia="SimSun"/>
          <w:b/>
          <w:sz w:val="22"/>
          <w:szCs w:val="22"/>
          <w:lang w:val="ru-RU" w:eastAsia="en-US"/>
        </w:rPr>
        <w:t>з/</w:t>
      </w:r>
      <w:r w:rsidRPr="005E67C2">
        <w:rPr>
          <w:rFonts w:eastAsia="SimSun"/>
          <w:b/>
          <w:sz w:val="22"/>
          <w:szCs w:val="22"/>
          <w:lang w:eastAsia="en-US"/>
        </w:rPr>
        <w:t>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288F4A94"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w:t>
      </w:r>
      <w:r w:rsidR="00B25503">
        <w:rPr>
          <w:rFonts w:eastAsia="Tahoma"/>
          <w:sz w:val="22"/>
          <w:szCs w:val="22"/>
          <w:lang w:eastAsia="ru-RU"/>
        </w:rPr>
        <w:t>’</w:t>
      </w:r>
      <w:r w:rsidRPr="005E67C2">
        <w:rPr>
          <w:rFonts w:eastAsia="Tahoma"/>
          <w:sz w:val="22"/>
          <w:szCs w:val="22"/>
          <w:lang w:eastAsia="ru-RU"/>
        </w:rPr>
        <w:t>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DC0A26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w:t>
      </w:r>
      <w:r w:rsidR="00B25503">
        <w:rPr>
          <w:rFonts w:eastAsia="Tahoma"/>
          <w:sz w:val="22"/>
          <w:szCs w:val="22"/>
          <w:lang w:eastAsia="ru-RU"/>
        </w:rPr>
        <w:t>’</w:t>
      </w:r>
      <w:r w:rsidRPr="005E67C2">
        <w:rPr>
          <w:rFonts w:eastAsia="Tahoma"/>
          <w:sz w:val="22"/>
          <w:szCs w:val="22"/>
          <w:lang w:eastAsia="ru-RU"/>
        </w:rPr>
        <w:t>язання Покупця з оплати вважається виконаним з моменту списання грошових коштів з розрахункового рахунку Покупця.</w:t>
      </w:r>
    </w:p>
    <w:p w14:paraId="4D21B45D" w14:textId="7686A12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w:t>
      </w:r>
      <w:r w:rsidR="00B25503">
        <w:rPr>
          <w:rFonts w:eastAsia="Tahoma"/>
          <w:sz w:val="22"/>
          <w:szCs w:val="22"/>
          <w:lang w:eastAsia="ru-RU"/>
        </w:rPr>
        <w:t>’</w:t>
      </w:r>
      <w:r w:rsidRPr="005E67C2">
        <w:rPr>
          <w:rFonts w:eastAsia="Tahoma"/>
          <w:sz w:val="22"/>
          <w:szCs w:val="22"/>
          <w:lang w:eastAsia="ru-RU"/>
        </w:rPr>
        <w:t>язані проводити звіряння виконання зобов</w:t>
      </w:r>
      <w:r w:rsidR="00B25503">
        <w:rPr>
          <w:rFonts w:eastAsia="Tahoma"/>
          <w:sz w:val="22"/>
          <w:szCs w:val="22"/>
          <w:lang w:eastAsia="ru-RU"/>
        </w:rPr>
        <w:t>’</w:t>
      </w:r>
      <w:r w:rsidRPr="005E67C2">
        <w:rPr>
          <w:rFonts w:eastAsia="Tahoma"/>
          <w:sz w:val="22"/>
          <w:szCs w:val="22"/>
          <w:lang w:eastAsia="ru-RU"/>
        </w:rPr>
        <w:t>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2B72FADE"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w:t>
      </w:r>
      <w:r w:rsidR="00B25503">
        <w:rPr>
          <w:sz w:val="22"/>
          <w:szCs w:val="22"/>
          <w:lang w:eastAsia="ru-RU"/>
        </w:rPr>
        <w:t>’</w:t>
      </w:r>
      <w:r w:rsidRPr="005E67C2">
        <w:rPr>
          <w:sz w:val="22"/>
          <w:szCs w:val="22"/>
          <w:lang w:eastAsia="ru-RU"/>
        </w:rPr>
        <w:t>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4E3C5639"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w:t>
      </w:r>
      <w:r w:rsidR="00B25503">
        <w:rPr>
          <w:sz w:val="22"/>
          <w:szCs w:val="22"/>
          <w:lang w:eastAsia="ru-RU"/>
        </w:rPr>
        <w:t>’</w:t>
      </w:r>
      <w:r w:rsidRPr="005E67C2">
        <w:rPr>
          <w:sz w:val="22"/>
          <w:szCs w:val="22"/>
          <w:lang w:eastAsia="ru-RU"/>
        </w:rPr>
        <w:t>язаний відшкодувати Покупцю витрати, пов</w:t>
      </w:r>
      <w:r w:rsidR="00B25503">
        <w:rPr>
          <w:sz w:val="22"/>
          <w:szCs w:val="22"/>
          <w:lang w:eastAsia="ru-RU"/>
        </w:rPr>
        <w:t>’</w:t>
      </w:r>
      <w:r w:rsidRPr="005E67C2">
        <w:rPr>
          <w:sz w:val="22"/>
          <w:szCs w:val="22"/>
          <w:lang w:eastAsia="ru-RU"/>
        </w:rPr>
        <w:t>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47E544A3" w14:textId="4511FEB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w:t>
      </w:r>
      <w:r w:rsidR="00B25503">
        <w:rPr>
          <w:sz w:val="22"/>
          <w:szCs w:val="22"/>
          <w:lang w:eastAsia="ru-RU"/>
        </w:rPr>
        <w:t>’</w:t>
      </w:r>
      <w:r w:rsidRPr="005E67C2">
        <w:rPr>
          <w:sz w:val="22"/>
          <w:szCs w:val="22"/>
          <w:lang w:eastAsia="ru-RU"/>
        </w:rPr>
        <w:t>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028E6035"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при оформленні первинних документів, пов</w:t>
      </w:r>
      <w:r w:rsidR="00B25503">
        <w:rPr>
          <w:sz w:val="22"/>
          <w:szCs w:val="22"/>
          <w:lang w:eastAsia="ru-RU"/>
        </w:rPr>
        <w:t>’</w:t>
      </w:r>
      <w:r w:rsidRPr="005E67C2">
        <w:rPr>
          <w:sz w:val="22"/>
          <w:szCs w:val="22"/>
          <w:lang w:eastAsia="ru-RU"/>
        </w:rPr>
        <w:t>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2CACA79B"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w:t>
      </w:r>
      <w:r w:rsidR="00B25503">
        <w:rPr>
          <w:sz w:val="22"/>
          <w:szCs w:val="22"/>
          <w:lang w:eastAsia="ru-RU"/>
        </w:rPr>
        <w:t>’</w:t>
      </w:r>
      <w:r w:rsidRPr="005E67C2">
        <w:rPr>
          <w:sz w:val="22"/>
          <w:szCs w:val="22"/>
          <w:lang w:eastAsia="ru-RU"/>
        </w:rPr>
        <w:t>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w:t>
      </w:r>
      <w:r w:rsidR="00B25503">
        <w:rPr>
          <w:sz w:val="22"/>
          <w:szCs w:val="22"/>
          <w:lang w:eastAsia="ru-RU"/>
        </w:rPr>
        <w:t>’</w:t>
      </w:r>
      <w:r w:rsidRPr="005E67C2">
        <w:rPr>
          <w:sz w:val="22"/>
          <w:szCs w:val="22"/>
          <w:lang w:eastAsia="ru-RU"/>
        </w:rPr>
        <w:t>язань в строки встановлені Податковим кодексом України.</w:t>
      </w:r>
    </w:p>
    <w:p w14:paraId="29938BD4" w14:textId="0E60646F"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w:t>
      </w:r>
      <w:r w:rsidR="00B25503">
        <w:rPr>
          <w:sz w:val="22"/>
          <w:szCs w:val="22"/>
          <w:lang w:eastAsia="ru-RU"/>
        </w:rPr>
        <w:t>’</w:t>
      </w:r>
      <w:r w:rsidRPr="005E67C2">
        <w:rPr>
          <w:sz w:val="22"/>
          <w:szCs w:val="22"/>
          <w:lang w:eastAsia="ru-RU"/>
        </w:rPr>
        <w:t>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w:t>
      </w:r>
      <w:r w:rsidR="00B25503">
        <w:rPr>
          <w:sz w:val="22"/>
          <w:szCs w:val="22"/>
          <w:lang w:eastAsia="ru-RU"/>
        </w:rPr>
        <w:t>’</w:t>
      </w:r>
      <w:r w:rsidRPr="005E67C2">
        <w:rPr>
          <w:sz w:val="22"/>
          <w:szCs w:val="22"/>
          <w:lang w:eastAsia="ru-RU"/>
        </w:rPr>
        <w:t>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605B3EFA"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B25503">
        <w:rPr>
          <w:sz w:val="22"/>
          <w:szCs w:val="22"/>
          <w:lang w:eastAsia="ru-RU"/>
        </w:rPr>
        <w:t>’</w:t>
      </w:r>
      <w:r w:rsidRPr="005E67C2">
        <w:rPr>
          <w:sz w:val="22"/>
          <w:szCs w:val="22"/>
          <w:lang w:eastAsia="ru-RU"/>
        </w:rPr>
        <w:t>язані з поверненням даного Товару, в тому числі всі транспортні витрати і витрати на зберігання, оплачуються Постачальником.</w:t>
      </w:r>
    </w:p>
    <w:p w14:paraId="669B56F5" w14:textId="3DEFDDF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w:t>
      </w:r>
      <w:r w:rsidR="00B25503">
        <w:rPr>
          <w:sz w:val="22"/>
          <w:szCs w:val="22"/>
          <w:lang w:eastAsia="ru-RU"/>
        </w:rPr>
        <w:t>’</w:t>
      </w:r>
      <w:r w:rsidRPr="005E67C2">
        <w:rPr>
          <w:sz w:val="22"/>
          <w:szCs w:val="22"/>
          <w:lang w:eastAsia="ru-RU"/>
        </w:rPr>
        <w:t>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2F178D6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w:t>
      </w:r>
      <w:r w:rsidR="00B25503">
        <w:rPr>
          <w:sz w:val="22"/>
          <w:szCs w:val="22"/>
          <w:lang w:eastAsia="ru-RU"/>
        </w:rPr>
        <w:t>’</w:t>
      </w:r>
      <w:r w:rsidRPr="005E67C2">
        <w:rPr>
          <w:sz w:val="22"/>
          <w:szCs w:val="22"/>
          <w:lang w:eastAsia="ru-RU"/>
        </w:rPr>
        <w:t>яти) робочих днів з моменту отримання письмової вимоги Покупця Постачальник зобов</w:t>
      </w:r>
      <w:r w:rsidR="00B25503">
        <w:rPr>
          <w:sz w:val="22"/>
          <w:szCs w:val="22"/>
          <w:lang w:eastAsia="ru-RU"/>
        </w:rPr>
        <w:t>’</w:t>
      </w:r>
      <w:r w:rsidRPr="005E67C2">
        <w:rPr>
          <w:sz w:val="22"/>
          <w:szCs w:val="22"/>
          <w:lang w:eastAsia="ru-RU"/>
        </w:rPr>
        <w:t xml:space="preserve">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5E67C2">
        <w:rPr>
          <w:sz w:val="22"/>
          <w:szCs w:val="22"/>
          <w:lang w:eastAsia="ru-RU"/>
        </w:rPr>
        <w:t>товаросупровідні</w:t>
      </w:r>
      <w:proofErr w:type="spellEnd"/>
      <w:r w:rsidRPr="005E67C2">
        <w:rPr>
          <w:sz w:val="22"/>
          <w:szCs w:val="22"/>
          <w:lang w:eastAsia="ru-RU"/>
        </w:rPr>
        <w:t xml:space="preserve"> документи та рахунки-фактури (для керівника </w:t>
      </w:r>
      <w:r w:rsidR="00B25503">
        <w:rPr>
          <w:sz w:val="22"/>
          <w:szCs w:val="22"/>
          <w:lang w:eastAsia="ru-RU"/>
        </w:rPr>
        <w:t>–</w:t>
      </w:r>
      <w:r w:rsidRPr="005E67C2">
        <w:rPr>
          <w:sz w:val="22"/>
          <w:szCs w:val="22"/>
          <w:lang w:eastAsia="ru-RU"/>
        </w:rPr>
        <w:t xml:space="preserve"> документ про призначення на посаду керівника, для головного бухгалтера </w:t>
      </w:r>
      <w:r w:rsidR="00B25503">
        <w:rPr>
          <w:sz w:val="22"/>
          <w:szCs w:val="22"/>
          <w:lang w:eastAsia="ru-RU"/>
        </w:rPr>
        <w:t>–</w:t>
      </w:r>
      <w:r w:rsidRPr="005E67C2">
        <w:rPr>
          <w:sz w:val="22"/>
          <w:szCs w:val="22"/>
          <w:lang w:eastAsia="ru-RU"/>
        </w:rPr>
        <w:t xml:space="preserve"> наказ про призначення на посаду головного бухгалтера, для інших осіб </w:t>
      </w:r>
      <w:r w:rsidR="00B25503">
        <w:rPr>
          <w:sz w:val="22"/>
          <w:szCs w:val="22"/>
          <w:lang w:eastAsia="ru-RU"/>
        </w:rPr>
        <w:t>–</w:t>
      </w:r>
      <w:r w:rsidRPr="005E67C2">
        <w:rPr>
          <w:sz w:val="22"/>
          <w:szCs w:val="22"/>
          <w:lang w:eastAsia="ru-RU"/>
        </w:rPr>
        <w:t xml:space="preserve">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w:t>
      </w:r>
      <w:r w:rsidR="00B25503">
        <w:rPr>
          <w:sz w:val="22"/>
          <w:szCs w:val="22"/>
          <w:lang w:eastAsia="ru-RU"/>
        </w:rPr>
        <w:t>’</w:t>
      </w:r>
      <w:r w:rsidRPr="005E67C2">
        <w:rPr>
          <w:sz w:val="22"/>
          <w:szCs w:val="22"/>
          <w:lang w:eastAsia="ru-RU"/>
        </w:rPr>
        <w:t>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4EBFF388"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w:t>
      </w:r>
      <w:r w:rsidR="00B25503">
        <w:rPr>
          <w:sz w:val="22"/>
          <w:szCs w:val="22"/>
          <w:lang w:eastAsia="ru-RU"/>
        </w:rPr>
        <w:t>’</w:t>
      </w:r>
      <w:r w:rsidRPr="005E67C2">
        <w:rPr>
          <w:sz w:val="22"/>
          <w:szCs w:val="22"/>
          <w:lang w:eastAsia="ru-RU"/>
        </w:rPr>
        <w:t xml:space="preserve">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w:t>
      </w:r>
      <w:r w:rsidR="00B25503">
        <w:rPr>
          <w:sz w:val="22"/>
          <w:szCs w:val="22"/>
          <w:lang w:eastAsia="ru-RU"/>
        </w:rPr>
        <w:t>’</w:t>
      </w:r>
      <w:r w:rsidRPr="005E67C2">
        <w:rPr>
          <w:sz w:val="22"/>
          <w:szCs w:val="22"/>
          <w:lang w:eastAsia="ru-RU"/>
        </w:rPr>
        <w:t>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5B3E748" w14:textId="3CDF3E5F"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r w:rsidR="00B25503">
        <w:rPr>
          <w:rFonts w:eastAsia="SimSun"/>
          <w:sz w:val="22"/>
          <w:szCs w:val="22"/>
          <w:lang w:eastAsia="en-US"/>
        </w:rPr>
        <w:pgNum/>
      </w:r>
      <w:proofErr w:type="spellStart"/>
      <w:r w:rsidR="00B25503">
        <w:rPr>
          <w:rFonts w:eastAsia="SimSun"/>
          <w:sz w:val="22"/>
          <w:szCs w:val="22"/>
          <w:lang w:eastAsia="en-US"/>
        </w:rPr>
        <w:t>рн</w:t>
      </w:r>
      <w:proofErr w:type="spellEnd"/>
      <w:r w:rsidRPr="005E67C2">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160B24A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Pr="005E67C2">
        <w:rPr>
          <w:rFonts w:eastAsia="Calibri"/>
          <w:sz w:val="22"/>
          <w:szCs w:val="22"/>
          <w:lang w:eastAsia="en-US"/>
        </w:rPr>
        <w:t xml:space="preserve">.),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Pr="005E67C2">
        <w:rPr>
          <w:rFonts w:eastAsia="Calibri"/>
          <w:sz w:val="22"/>
          <w:szCs w:val="22"/>
          <w:lang w:eastAsia="en-US"/>
        </w:rPr>
        <w:t>.).</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w:t>
      </w:r>
      <w:proofErr w:type="spellStart"/>
      <w:r w:rsidRPr="005E67C2">
        <w:rPr>
          <w:rFonts w:eastAsia="Calibri"/>
          <w:sz w:val="22"/>
          <w:szCs w:val="22"/>
          <w:lang w:eastAsia="en-US"/>
        </w:rPr>
        <w:t>обставини</w:t>
      </w:r>
      <w:proofErr w:type="spellEnd"/>
      <w:r w:rsidRPr="005E67C2">
        <w:rPr>
          <w:rFonts w:eastAsia="Calibri"/>
          <w:sz w:val="22"/>
          <w:szCs w:val="22"/>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E67C2">
        <w:rPr>
          <w:rFonts w:eastAsia="Calibri"/>
          <w:sz w:val="22"/>
          <w:szCs w:val="22"/>
          <w:lang w:eastAsia="en-US"/>
        </w:rPr>
        <w:t>обставин</w:t>
      </w:r>
      <w:proofErr w:type="spellEnd"/>
      <w:r w:rsidRPr="005E67C2">
        <w:rPr>
          <w:rFonts w:eastAsia="Calibri"/>
          <w:sz w:val="22"/>
          <w:szCs w:val="22"/>
          <w:lang w:eastAsia="en-US"/>
        </w:rPr>
        <w:t xml:space="preserve">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w:t>
      </w:r>
      <w:proofErr w:type="spellStart"/>
      <w:r w:rsidRPr="005E67C2">
        <w:rPr>
          <w:rFonts w:eastAsia="Calibri"/>
          <w:sz w:val="22"/>
          <w:szCs w:val="22"/>
          <w:lang w:eastAsia="en-US"/>
        </w:rPr>
        <w:t>обставини</w:t>
      </w:r>
      <w:proofErr w:type="spellEnd"/>
      <w:r w:rsidRPr="005E67C2">
        <w:rPr>
          <w:rFonts w:eastAsia="Calibri"/>
          <w:sz w:val="22"/>
          <w:szCs w:val="22"/>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w:t>
      </w:r>
      <w:r w:rsidRPr="005E67C2">
        <w:rPr>
          <w:rFonts w:eastAsia="Calibri"/>
          <w:sz w:val="22"/>
          <w:szCs w:val="22"/>
          <w:lang w:eastAsia="en-US"/>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E67C2">
        <w:rPr>
          <w:rFonts w:eastAsia="Calibri"/>
          <w:sz w:val="22"/>
          <w:szCs w:val="22"/>
          <w:lang w:eastAsia="en-US"/>
        </w:rPr>
        <w:t>обставини</w:t>
      </w:r>
      <w:proofErr w:type="spellEnd"/>
      <w:r w:rsidRPr="005E67C2">
        <w:rPr>
          <w:rFonts w:eastAsia="Calibri"/>
          <w:sz w:val="22"/>
          <w:szCs w:val="22"/>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E67C2">
        <w:rPr>
          <w:rFonts w:eastAsia="Calibri"/>
          <w:sz w:val="22"/>
          <w:szCs w:val="22"/>
          <w:lang w:eastAsia="en-US"/>
        </w:rPr>
        <w:t>обставин</w:t>
      </w:r>
      <w:proofErr w:type="spellEnd"/>
      <w:r w:rsidRPr="005E67C2">
        <w:rPr>
          <w:rFonts w:eastAsia="Calibri"/>
          <w:sz w:val="22"/>
          <w:szCs w:val="22"/>
          <w:lang w:eastAsia="en-US"/>
        </w:rPr>
        <w:t xml:space="preserve">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w:t>
      </w:r>
      <w:proofErr w:type="spellStart"/>
      <w:r w:rsidRPr="005E67C2">
        <w:rPr>
          <w:rFonts w:eastAsia="Calibri"/>
          <w:sz w:val="22"/>
          <w:szCs w:val="22"/>
          <w:lang w:eastAsia="en-US"/>
        </w:rPr>
        <w:t>обставини</w:t>
      </w:r>
      <w:proofErr w:type="spellEnd"/>
      <w:r w:rsidRPr="005E67C2">
        <w:rPr>
          <w:rFonts w:eastAsia="Calibri"/>
          <w:sz w:val="22"/>
          <w:szCs w:val="22"/>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E67C2">
        <w:rPr>
          <w:rFonts w:eastAsia="Calibri"/>
          <w:sz w:val="22"/>
          <w:szCs w:val="22"/>
          <w:lang w:eastAsia="en-US"/>
        </w:rPr>
        <w:t>обставин</w:t>
      </w:r>
      <w:proofErr w:type="spellEnd"/>
      <w:r w:rsidRPr="005E67C2">
        <w:rPr>
          <w:rFonts w:eastAsia="Calibri"/>
          <w:sz w:val="22"/>
          <w:szCs w:val="22"/>
          <w:lang w:eastAsia="en-US"/>
        </w:rPr>
        <w:t xml:space="preserve">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E078E5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527515E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6756D8A6"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w:t>
      </w:r>
      <w:r w:rsidR="00B25503">
        <w:rPr>
          <w:sz w:val="22"/>
          <w:szCs w:val="22"/>
          <w:lang w:eastAsia="ru-RU"/>
        </w:rPr>
        <w:t>’</w:t>
      </w:r>
      <w:r w:rsidRPr="005E67C2">
        <w:rPr>
          <w:sz w:val="22"/>
          <w:szCs w:val="22"/>
          <w:lang w:eastAsia="ru-RU"/>
        </w:rPr>
        <w:t>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E39342E"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9.4. Документи за цим Договором, отримані однією Стороною від іншої за допомогою факсимільного (електронного) зв</w:t>
      </w:r>
      <w:r w:rsidR="00B25503">
        <w:rPr>
          <w:sz w:val="22"/>
          <w:szCs w:val="22"/>
          <w:lang w:eastAsia="ru-RU"/>
        </w:rPr>
        <w:t>’</w:t>
      </w:r>
      <w:r w:rsidRPr="005E67C2">
        <w:rPr>
          <w:sz w:val="22"/>
          <w:szCs w:val="22"/>
          <w:lang w:eastAsia="ru-RU"/>
        </w:rPr>
        <w:t>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w:t>
      </w:r>
      <w:r w:rsidR="00B25503">
        <w:rPr>
          <w:sz w:val="22"/>
          <w:szCs w:val="22"/>
          <w:lang w:eastAsia="ru-RU"/>
        </w:rPr>
        <w:t>’</w:t>
      </w:r>
      <w:r w:rsidRPr="005E67C2">
        <w:rPr>
          <w:sz w:val="22"/>
          <w:szCs w:val="22"/>
          <w:lang w:eastAsia="ru-RU"/>
        </w:rPr>
        <w:t>язку зобов</w:t>
      </w:r>
      <w:r w:rsidR="00B25503">
        <w:rPr>
          <w:sz w:val="22"/>
          <w:szCs w:val="22"/>
          <w:lang w:eastAsia="ru-RU"/>
        </w:rPr>
        <w:t>’</w:t>
      </w:r>
      <w:r w:rsidRPr="005E67C2">
        <w:rPr>
          <w:sz w:val="22"/>
          <w:szCs w:val="22"/>
          <w:lang w:eastAsia="ru-RU"/>
        </w:rPr>
        <w:t>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w:t>
      </w:r>
      <w:r w:rsidR="00B25503">
        <w:rPr>
          <w:sz w:val="22"/>
          <w:szCs w:val="22"/>
          <w:lang w:eastAsia="ru-RU"/>
        </w:rPr>
        <w:t>’</w:t>
      </w:r>
      <w:r w:rsidRPr="005E67C2">
        <w:rPr>
          <w:sz w:val="22"/>
          <w:szCs w:val="22"/>
          <w:lang w:eastAsia="ru-RU"/>
        </w:rPr>
        <w:t>язку. Ризик перекручування інформації при її передачі за допомогою факсимільного (електронного) зв</w:t>
      </w:r>
      <w:r w:rsidR="00B25503">
        <w:rPr>
          <w:sz w:val="22"/>
          <w:szCs w:val="22"/>
          <w:lang w:eastAsia="ru-RU"/>
        </w:rPr>
        <w:t>’</w:t>
      </w:r>
      <w:r w:rsidRPr="005E67C2">
        <w:rPr>
          <w:sz w:val="22"/>
          <w:szCs w:val="22"/>
          <w:lang w:eastAsia="ru-RU"/>
        </w:rPr>
        <w:t>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proofErr w:type="spellStart"/>
      <w:r w:rsidRPr="005E67C2">
        <w:rPr>
          <w:sz w:val="22"/>
          <w:szCs w:val="22"/>
          <w:lang w:eastAsia="ru-RU"/>
        </w:rPr>
        <w:t>-</w:t>
      </w:r>
      <w:r w:rsidRPr="005E67C2">
        <w:rPr>
          <w:sz w:val="22"/>
          <w:szCs w:val="22"/>
          <w:u w:val="single"/>
          <w:lang w:eastAsia="ru-RU"/>
        </w:rPr>
        <w:t>Покупець</w:t>
      </w:r>
      <w:proofErr w:type="spellEnd"/>
      <w:r w:rsidRPr="005E67C2">
        <w:rPr>
          <w:sz w:val="22"/>
          <w:szCs w:val="22"/>
          <w:u w:val="single"/>
          <w:lang w:eastAsia="ru-RU"/>
        </w:rPr>
        <w:t xml:space="preserve">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proofErr w:type="spellStart"/>
      <w:r w:rsidRPr="005E67C2">
        <w:rPr>
          <w:sz w:val="22"/>
          <w:szCs w:val="22"/>
          <w:lang w:eastAsia="ru-RU"/>
        </w:rPr>
        <w:t>-</w:t>
      </w:r>
      <w:r w:rsidRPr="005E67C2">
        <w:rPr>
          <w:sz w:val="22"/>
          <w:szCs w:val="22"/>
          <w:u w:val="single"/>
          <w:lang w:eastAsia="ru-RU"/>
        </w:rPr>
        <w:t>Постачальник</w:t>
      </w:r>
      <w:proofErr w:type="spellEnd"/>
      <w:r w:rsidRPr="005E67C2">
        <w:rPr>
          <w:sz w:val="22"/>
          <w:szCs w:val="22"/>
          <w:u w:val="single"/>
          <w:lang w:eastAsia="ru-RU"/>
        </w:rPr>
        <w:t xml:space="preserve"> є платник </w:t>
      </w:r>
      <w:r w:rsidRPr="005E67C2">
        <w:rPr>
          <w:strike/>
          <w:sz w:val="22"/>
          <w:szCs w:val="22"/>
          <w:u w:val="single"/>
          <w:lang w:eastAsia="ru-RU"/>
        </w:rPr>
        <w:t>___________________</w:t>
      </w:r>
    </w:p>
    <w:p w14:paraId="307332F5" w14:textId="4F902E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B25503">
        <w:rPr>
          <w:sz w:val="22"/>
          <w:szCs w:val="22"/>
          <w:lang w:eastAsia="ru-RU"/>
        </w:rPr>
        <w:t>’</w:t>
      </w:r>
      <w:r w:rsidRPr="005E67C2">
        <w:rPr>
          <w:sz w:val="22"/>
          <w:szCs w:val="22"/>
          <w:lang w:eastAsia="ru-RU"/>
        </w:rPr>
        <w:t>язку) протягом 5 (п</w:t>
      </w:r>
      <w:r w:rsidR="00B25503">
        <w:rPr>
          <w:sz w:val="22"/>
          <w:szCs w:val="22"/>
          <w:lang w:eastAsia="ru-RU"/>
        </w:rPr>
        <w:t>’</w:t>
      </w:r>
      <w:r w:rsidRPr="005E67C2">
        <w:rPr>
          <w:sz w:val="22"/>
          <w:szCs w:val="22"/>
          <w:lang w:eastAsia="ru-RU"/>
        </w:rPr>
        <w:t>яти) календарних днів з моменту настання відповідних змін.</w:t>
      </w:r>
    </w:p>
    <w:p w14:paraId="4E76B659" w14:textId="4158DE31"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w:t>
      </w:r>
      <w:r w:rsidR="00B25503">
        <w:rPr>
          <w:sz w:val="22"/>
          <w:szCs w:val="22"/>
          <w:lang w:eastAsia="ru-RU"/>
        </w:rPr>
        <w:t>’</w:t>
      </w:r>
      <w:r w:rsidRPr="005E67C2">
        <w:rPr>
          <w:sz w:val="22"/>
          <w:szCs w:val="22"/>
          <w:lang w:eastAsia="ru-RU"/>
        </w:rPr>
        <w:t>язані з предметом цього Договору, втрачають силу.</w:t>
      </w:r>
    </w:p>
    <w:p w14:paraId="3B3E49E7" w14:textId="7CAA090A"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w:t>
      </w:r>
      <w:r w:rsidR="00B25503">
        <w:rPr>
          <w:sz w:val="22"/>
          <w:szCs w:val="22"/>
          <w:lang w:eastAsia="ru-RU"/>
        </w:rPr>
        <w:t>’</w:t>
      </w:r>
      <w:r w:rsidRPr="005E67C2">
        <w:rPr>
          <w:sz w:val="22"/>
          <w:szCs w:val="22"/>
          <w:lang w:eastAsia="ru-RU"/>
        </w:rPr>
        <w:t>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3920441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w:t>
      </w:r>
      <w:r w:rsidR="00B25503">
        <w:rPr>
          <w:rFonts w:eastAsia="Calibri"/>
          <w:sz w:val="22"/>
          <w:szCs w:val="22"/>
          <w:lang w:eastAsia="en-US"/>
        </w:rPr>
        <w:t>’</w:t>
      </w:r>
      <w:r w:rsidRPr="005E67C2">
        <w:rPr>
          <w:rFonts w:eastAsia="Calibri"/>
          <w:sz w:val="22"/>
          <w:szCs w:val="22"/>
          <w:lang w:eastAsia="en-US"/>
        </w:rPr>
        <w:t>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5E67C2">
        <w:rPr>
          <w:sz w:val="22"/>
          <w:lang w:eastAsia="ru-RU"/>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4915098" w14:textId="3C946275" w:rsidR="0089472A" w:rsidRPr="005E67C2" w:rsidRDefault="0089472A" w:rsidP="0089472A">
      <w:pPr>
        <w:suppressAutoHyphens w:val="0"/>
        <w:jc w:val="both"/>
        <w:rPr>
          <w:sz w:val="22"/>
          <w:lang w:eastAsia="ru-RU"/>
        </w:rPr>
      </w:pPr>
      <w:r w:rsidRPr="005E67C2">
        <w:rPr>
          <w:sz w:val="22"/>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25503">
        <w:rPr>
          <w:sz w:val="22"/>
          <w:lang w:eastAsia="ru-RU"/>
        </w:rPr>
        <w:t>–</w:t>
      </w:r>
      <w:r w:rsidRPr="005E67C2">
        <w:rPr>
          <w:sz w:val="22"/>
          <w:lang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B25503" w:rsidRPr="005E67C2">
        <w:rPr>
          <w:sz w:val="22"/>
          <w:lang w:eastAsia="ru-RU"/>
        </w:rPr>
        <w:t>М</w:t>
      </w:r>
      <w:r w:rsidRPr="005E67C2">
        <w:rPr>
          <w:sz w:val="22"/>
          <w:lang w:eastAsia="ru-RU"/>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325F6F95"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w:t>
      </w:r>
      <w:r w:rsidR="00B25503">
        <w:rPr>
          <w:rFonts w:eastAsia="Calibri"/>
          <w:sz w:val="22"/>
          <w:szCs w:val="22"/>
          <w:lang w:eastAsia="en-US"/>
        </w:rPr>
        <w:t>’</w:t>
      </w:r>
      <w:r w:rsidRPr="005E67C2">
        <w:rPr>
          <w:rFonts w:eastAsia="Calibri"/>
          <w:sz w:val="22"/>
          <w:szCs w:val="22"/>
          <w:lang w:eastAsia="en-US"/>
        </w:rPr>
        <w:t>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003B364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00B25503">
        <w:rPr>
          <w:rFonts w:eastAsia="Calibri"/>
          <w:sz w:val="22"/>
          <w:szCs w:val="22"/>
          <w:lang w:eastAsia="en-US"/>
        </w:rPr>
        <w:t>.</w:t>
      </w:r>
      <w:r w:rsidR="00B25503">
        <w:rPr>
          <w:rFonts w:eastAsia="Calibri"/>
          <w:sz w:val="22"/>
          <w:szCs w:val="22"/>
          <w:lang w:eastAsia="en-US"/>
        </w:rPr>
        <w:pgNum/>
      </w:r>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1EA546E1"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lastRenderedPageBreak/>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00B25503">
        <w:rPr>
          <w:rFonts w:eastAsia="Calibri"/>
          <w:sz w:val="22"/>
          <w:szCs w:val="22"/>
          <w:lang w:eastAsia="en-US"/>
        </w:rPr>
        <w:t>.</w:t>
      </w:r>
      <w:r w:rsidR="00B25503">
        <w:rPr>
          <w:rFonts w:eastAsia="Calibri"/>
          <w:sz w:val="22"/>
          <w:szCs w:val="22"/>
          <w:lang w:eastAsia="en-US"/>
        </w:rPr>
        <w:pgNum/>
      </w:r>
      <w:proofErr w:type="spellStart"/>
      <w:r w:rsidR="00B25503">
        <w:rPr>
          <w:rFonts w:eastAsia="Calibri"/>
          <w:sz w:val="22"/>
          <w:szCs w:val="22"/>
          <w:lang w:eastAsia="en-US"/>
        </w:rPr>
        <w:t>инення</w:t>
      </w:r>
      <w:proofErr w:type="spellEnd"/>
      <w:r w:rsidR="00B25503">
        <w:rPr>
          <w:rFonts w:eastAsia="Calibri"/>
          <w:sz w:val="22"/>
          <w:szCs w:val="22"/>
          <w:lang w:eastAsia="en-US"/>
        </w:rPr>
        <w:pgNum/>
      </w:r>
      <w:r w:rsidR="00B25503">
        <w:rPr>
          <w:rFonts w:eastAsia="Calibri"/>
          <w:sz w:val="22"/>
          <w:szCs w:val="22"/>
          <w:lang w:eastAsia="en-US"/>
        </w:rPr>
        <w:pgNum/>
      </w:r>
      <w:proofErr w:type="spellStart"/>
      <w:r w:rsidR="00B25503">
        <w:rPr>
          <w:rFonts w:eastAsia="Calibri"/>
          <w:sz w:val="22"/>
          <w:szCs w:val="22"/>
          <w:lang w:eastAsia="en-US"/>
        </w:rPr>
        <w:t>ору</w:t>
      </w:r>
      <w:proofErr w:type="spellEnd"/>
      <w:r w:rsidRPr="005E67C2">
        <w:rPr>
          <w:rFonts w:eastAsia="Calibri"/>
          <w:color w:val="1F1F1F"/>
          <w:sz w:val="22"/>
          <w:szCs w:val="22"/>
          <w:highlight w:val="white"/>
          <w:lang w:eastAsia="en-US"/>
        </w:rPr>
        <w:t>.</w:t>
      </w:r>
    </w:p>
    <w:p w14:paraId="6FE8B13A" w14:textId="3208ADD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B25503">
        <w:rPr>
          <w:rFonts w:eastAsia="Calibri"/>
          <w:sz w:val="22"/>
          <w:szCs w:val="22"/>
          <w:lang w:eastAsia="en-US"/>
        </w:rPr>
        <w:t>’</w:t>
      </w:r>
      <w:r w:rsidRPr="005E67C2">
        <w:rPr>
          <w:rFonts w:eastAsia="Calibri"/>
          <w:sz w:val="22"/>
          <w:szCs w:val="22"/>
          <w:lang w:eastAsia="en-US"/>
        </w:rPr>
        <w:t>язку адресата поштового листа.</w:t>
      </w:r>
    </w:p>
    <w:p w14:paraId="4CE3F6A1" w14:textId="4EAA47A6"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B25503">
        <w:rPr>
          <w:rFonts w:eastAsia="Calibri"/>
          <w:sz w:val="22"/>
          <w:szCs w:val="22"/>
          <w:lang w:eastAsia="en-US"/>
        </w:rPr>
        <w:t>’</w:t>
      </w:r>
      <w:r w:rsidRPr="005E67C2">
        <w:rPr>
          <w:rFonts w:eastAsia="Calibri"/>
          <w:sz w:val="22"/>
          <w:szCs w:val="22"/>
          <w:lang w:eastAsia="en-US"/>
        </w:rPr>
        <w:t>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5E67C2">
        <w:rPr>
          <w:rFonts w:eastAsia="Calibri"/>
          <w:sz w:val="22"/>
          <w:szCs w:val="22"/>
          <w:lang w:eastAsia="en-US"/>
        </w:rPr>
        <w:t>„Реквізити</w:t>
      </w:r>
      <w:proofErr w:type="spellEnd"/>
      <w:r w:rsidRPr="005E67C2">
        <w:rPr>
          <w:rFonts w:eastAsia="Calibri"/>
          <w:sz w:val="22"/>
          <w:szCs w:val="22"/>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02D6414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w:t>
      </w:r>
      <w:r w:rsidR="00B25503">
        <w:rPr>
          <w:rFonts w:eastAsia="Calibri"/>
          <w:sz w:val="22"/>
          <w:szCs w:val="22"/>
          <w:lang w:eastAsia="en-US"/>
        </w:rPr>
        <w:t>’</w:t>
      </w:r>
      <w:r w:rsidRPr="005E67C2">
        <w:rPr>
          <w:rFonts w:eastAsia="Calibri"/>
          <w:sz w:val="22"/>
          <w:szCs w:val="22"/>
          <w:lang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3862AEAE"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w:t>
      </w:r>
      <w:r w:rsidR="00B25503">
        <w:rPr>
          <w:rFonts w:eastAsia="Calibri"/>
          <w:sz w:val="22"/>
          <w:szCs w:val="22"/>
          <w:lang w:eastAsia="en-US"/>
        </w:rPr>
        <w:t>’</w:t>
      </w:r>
      <w:r w:rsidRPr="005E67C2">
        <w:rPr>
          <w:rFonts w:eastAsia="Calibri"/>
          <w:sz w:val="22"/>
          <w:szCs w:val="22"/>
          <w:lang w:eastAsia="en-US"/>
        </w:rPr>
        <w:t>язується своєчасно в письмовій формі повідомляти іншу Сторону про їх зміну, а в разі неповідомлення несе ризик настання пов</w:t>
      </w:r>
      <w:r w:rsidR="00B25503">
        <w:rPr>
          <w:rFonts w:eastAsia="Calibri"/>
          <w:sz w:val="22"/>
          <w:szCs w:val="22"/>
          <w:lang w:eastAsia="en-US"/>
        </w:rPr>
        <w:t>’</w:t>
      </w:r>
      <w:r w:rsidRPr="005E67C2">
        <w:rPr>
          <w:rFonts w:eastAsia="Calibri"/>
          <w:sz w:val="22"/>
          <w:szCs w:val="22"/>
          <w:lang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31B8F26A"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5E67C2">
        <w:rPr>
          <w:rFonts w:eastAsia="Calibri"/>
          <w:sz w:val="22"/>
          <w:szCs w:val="22"/>
          <w:lang w:eastAsia="en-US"/>
        </w:rPr>
        <w:t>необіжними</w:t>
      </w:r>
      <w:proofErr w:type="spellEnd"/>
      <w:r w:rsidRPr="005E67C2">
        <w:rPr>
          <w:rFonts w:eastAsia="Calibri"/>
          <w:sz w:val="22"/>
          <w:szCs w:val="22"/>
          <w:lang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00B25503">
        <w:rPr>
          <w:rFonts w:eastAsia="Calibri"/>
          <w:sz w:val="22"/>
          <w:szCs w:val="22"/>
          <w:lang w:eastAsia="en-US"/>
        </w:rPr>
        <w:t>.</w:t>
      </w:r>
      <w:r w:rsidR="00B25503">
        <w:rPr>
          <w:rFonts w:eastAsia="Calibri"/>
          <w:sz w:val="22"/>
          <w:szCs w:val="22"/>
          <w:lang w:eastAsia="en-US"/>
        </w:rPr>
        <w:pgNum/>
      </w:r>
      <w:proofErr w:type="spellStart"/>
      <w:r w:rsidR="00B25503">
        <w:rPr>
          <w:rFonts w:eastAsia="Calibri"/>
          <w:sz w:val="22"/>
          <w:szCs w:val="22"/>
          <w:lang w:eastAsia="en-US"/>
        </w:rPr>
        <w:t>инення</w:t>
      </w:r>
      <w:proofErr w:type="spellEnd"/>
      <w:r w:rsidR="00B25503">
        <w:rPr>
          <w:rFonts w:eastAsia="Calibri"/>
          <w:sz w:val="22"/>
          <w:szCs w:val="22"/>
          <w:lang w:eastAsia="en-US"/>
        </w:rPr>
        <w:pgNum/>
      </w:r>
      <w:r w:rsidRPr="005E67C2">
        <w:rPr>
          <w:rFonts w:eastAsia="Calibri"/>
          <w:sz w:val="22"/>
          <w:szCs w:val="22"/>
          <w:lang w:eastAsia="en-US"/>
        </w:rPr>
        <w:t xml:space="preserve"> характеру без законних на те підстав) прямо або опосередковано будь-яким особам / від будь-яких осіб за вчинення чи </w:t>
      </w:r>
      <w:r w:rsidR="00B25503">
        <w:rPr>
          <w:rFonts w:eastAsia="Calibri"/>
          <w:sz w:val="22"/>
          <w:szCs w:val="22"/>
          <w:lang w:eastAsia="en-US"/>
        </w:rPr>
        <w:pgNum/>
      </w:r>
      <w:proofErr w:type="spellStart"/>
      <w:r w:rsidR="00B25503">
        <w:rPr>
          <w:rFonts w:eastAsia="Calibri"/>
          <w:sz w:val="22"/>
          <w:szCs w:val="22"/>
          <w:lang w:eastAsia="en-US"/>
        </w:rPr>
        <w:t>рн</w:t>
      </w:r>
      <w:proofErr w:type="spellEnd"/>
      <w:r w:rsidR="00B25503">
        <w:rPr>
          <w:rFonts w:eastAsia="Calibri"/>
          <w:sz w:val="22"/>
          <w:szCs w:val="22"/>
          <w:lang w:eastAsia="en-US"/>
        </w:rPr>
        <w:t>.</w:t>
      </w:r>
      <w:r w:rsidR="00B25503">
        <w:rPr>
          <w:rFonts w:eastAsia="Calibri"/>
          <w:sz w:val="22"/>
          <w:szCs w:val="22"/>
          <w:lang w:eastAsia="en-US"/>
        </w:rPr>
        <w:pgNum/>
      </w:r>
      <w:proofErr w:type="spellStart"/>
      <w:r w:rsidR="00B25503">
        <w:rPr>
          <w:rFonts w:eastAsia="Calibri"/>
          <w:sz w:val="22"/>
          <w:szCs w:val="22"/>
          <w:lang w:eastAsia="en-US"/>
        </w:rPr>
        <w:t>инення</w:t>
      </w:r>
      <w:proofErr w:type="spellEnd"/>
      <w:r w:rsidRPr="005E67C2">
        <w:rPr>
          <w:rFonts w:eastAsia="Calibri"/>
          <w:sz w:val="22"/>
          <w:szCs w:val="22"/>
          <w:lang w:eastAsia="en-US"/>
        </w:rPr>
        <w:t xml:space="preserve">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576A2302"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w:t>
      </w:r>
      <w:r w:rsidR="00B25503">
        <w:rPr>
          <w:rFonts w:eastAsia="Calibri"/>
          <w:sz w:val="22"/>
          <w:szCs w:val="22"/>
          <w:lang w:eastAsia="en-US"/>
        </w:rPr>
        <w:t>’</w:t>
      </w:r>
      <w:r w:rsidRPr="005E67C2">
        <w:rPr>
          <w:rFonts w:eastAsia="Calibri"/>
          <w:sz w:val="22"/>
          <w:szCs w:val="22"/>
          <w:lang w:eastAsia="en-US"/>
        </w:rPr>
        <w:t>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76"/>
        <w:gridCol w:w="4821"/>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7FDBFCC6"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85300,Донецька </w:t>
            </w:r>
            <w:r w:rsidR="00B25503">
              <w:rPr>
                <w:rFonts w:ascii="Times New Roman" w:eastAsia="Tahoma" w:hAnsi="Times New Roman"/>
                <w:sz w:val="24"/>
                <w:szCs w:val="24"/>
                <w:lang w:eastAsia="en-US"/>
              </w:rPr>
              <w:pgNum/>
            </w:r>
            <w:proofErr w:type="spellStart"/>
            <w:r w:rsidR="00B25503">
              <w:rPr>
                <w:rFonts w:ascii="Times New Roman" w:eastAsia="Tahoma" w:hAnsi="Times New Roman"/>
                <w:sz w:val="24"/>
                <w:szCs w:val="24"/>
                <w:lang w:eastAsia="en-US"/>
              </w:rPr>
              <w:t>рн</w:t>
            </w:r>
            <w:proofErr w:type="spellEnd"/>
            <w:r w:rsidR="00B25503">
              <w:rPr>
                <w:rFonts w:ascii="Times New Roman" w:eastAsia="Tahoma" w:hAnsi="Times New Roman"/>
                <w:sz w:val="24"/>
                <w:szCs w:val="24"/>
                <w:lang w:eastAsia="en-US"/>
              </w:rPr>
              <w:t>.</w:t>
            </w:r>
            <w:r w:rsidRPr="005E67C2">
              <w:rPr>
                <w:rFonts w:ascii="Times New Roman" w:eastAsia="Tahoma" w:hAnsi="Times New Roman"/>
                <w:sz w:val="24"/>
                <w:szCs w:val="24"/>
                <w:lang w:eastAsia="en-US"/>
              </w:rPr>
              <w:t>.,</w:t>
            </w:r>
          </w:p>
          <w:p w14:paraId="44000E05" w14:textId="1D725E09"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м. </w:t>
            </w:r>
            <w:proofErr w:type="spellStart"/>
            <w:r w:rsidRPr="005E67C2">
              <w:rPr>
                <w:rFonts w:ascii="Times New Roman" w:eastAsia="Tahoma" w:hAnsi="Times New Roman"/>
                <w:sz w:val="24"/>
                <w:szCs w:val="24"/>
                <w:lang w:eastAsia="en-US"/>
              </w:rPr>
              <w:t>Покровськ</w:t>
            </w:r>
            <w:proofErr w:type="spellEnd"/>
            <w:r w:rsidRPr="005E67C2">
              <w:rPr>
                <w:rFonts w:ascii="Times New Roman" w:eastAsia="Tahoma" w:hAnsi="Times New Roman"/>
                <w:sz w:val="24"/>
                <w:szCs w:val="24"/>
                <w:lang w:eastAsia="en-US"/>
              </w:rPr>
              <w:t xml:space="preserve">, </w:t>
            </w:r>
            <w:r w:rsidR="00B25503">
              <w:rPr>
                <w:rFonts w:ascii="Times New Roman" w:eastAsia="Tahoma" w:hAnsi="Times New Roman"/>
                <w:sz w:val="24"/>
                <w:szCs w:val="24"/>
                <w:lang w:eastAsia="en-US"/>
              </w:rPr>
              <w:pgNum/>
            </w:r>
            <w:proofErr w:type="spellStart"/>
            <w:r w:rsidR="00B25503">
              <w:rPr>
                <w:rFonts w:ascii="Times New Roman" w:eastAsia="Tahoma" w:hAnsi="Times New Roman"/>
                <w:sz w:val="24"/>
                <w:szCs w:val="24"/>
                <w:lang w:eastAsia="en-US"/>
              </w:rPr>
              <w:t>рн.</w:t>
            </w:r>
            <w:r w:rsidRPr="005E67C2">
              <w:rPr>
                <w:rFonts w:ascii="Times New Roman" w:eastAsia="Tahoma" w:hAnsi="Times New Roman"/>
                <w:sz w:val="24"/>
                <w:szCs w:val="24"/>
                <w:lang w:eastAsia="en-US"/>
              </w:rPr>
              <w:t>.Руднєва</w:t>
            </w:r>
            <w:proofErr w:type="spellEnd"/>
            <w:r w:rsidRPr="005E67C2">
              <w:rPr>
                <w:rFonts w:ascii="Times New Roman" w:eastAsia="Tahoma" w:hAnsi="Times New Roman"/>
                <w:sz w:val="24"/>
                <w:szCs w:val="24"/>
                <w:lang w:eastAsia="en-US"/>
              </w:rPr>
              <w:t>,73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w:t>
            </w:r>
            <w:proofErr w:type="spellStart"/>
            <w:r w:rsidRPr="005E67C2">
              <w:rPr>
                <w:rFonts w:ascii="Times New Roman" w:eastAsia="Tahoma" w:hAnsi="Times New Roman"/>
                <w:sz w:val="24"/>
                <w:szCs w:val="24"/>
                <w:lang w:eastAsia="en-US"/>
              </w:rPr>
              <w:t>р</w:t>
            </w:r>
            <w:proofErr w:type="spellEnd"/>
            <w:r w:rsidRPr="005E67C2">
              <w:rPr>
                <w:rFonts w:ascii="Times New Roman" w:eastAsia="Tahoma" w:hAnsi="Times New Roman"/>
                <w:sz w:val="24"/>
                <w:szCs w:val="24"/>
                <w:lang w:eastAsia="en-US"/>
              </w:rPr>
              <w:t xml:space="preserve">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77777777" w:rsidR="0089472A" w:rsidRPr="005E67C2" w:rsidRDefault="0089472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7777777" w:rsidR="0089472A" w:rsidRPr="005E67C2" w:rsidRDefault="0089472A"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16C47B5" w14:textId="4ED5304C" w:rsidR="0089472A" w:rsidRPr="005E67C2" w:rsidRDefault="0089472A" w:rsidP="0089472A">
      <w:pPr>
        <w:suppressAutoHyphens w:val="0"/>
        <w:rPr>
          <w:rFonts w:eastAsia="Calibri"/>
          <w:lang w:eastAsia="en-US"/>
        </w:rPr>
      </w:pPr>
    </w:p>
    <w:p w14:paraId="63AAC0EE" w14:textId="31C91771" w:rsidR="0089472A" w:rsidRPr="005E67C2" w:rsidRDefault="0089472A" w:rsidP="0089472A">
      <w:pPr>
        <w:suppressAutoHyphens w:val="0"/>
        <w:rPr>
          <w:rFonts w:eastAsia="Calibri"/>
          <w:lang w:eastAsia="en-US"/>
        </w:rPr>
      </w:pPr>
    </w:p>
    <w:p w14:paraId="0A950A1E" w14:textId="38B80D89" w:rsidR="0089472A" w:rsidRPr="005E67C2" w:rsidRDefault="0089472A" w:rsidP="0089472A">
      <w:pPr>
        <w:suppressAutoHyphens w:val="0"/>
        <w:rPr>
          <w:rFonts w:eastAsia="Calibri"/>
          <w:lang w:eastAsia="en-US"/>
        </w:rPr>
      </w:pPr>
    </w:p>
    <w:p w14:paraId="07EC0FF9" w14:textId="27B50F4B" w:rsidR="0089472A" w:rsidRPr="005E67C2" w:rsidRDefault="0089472A" w:rsidP="0089472A">
      <w:pPr>
        <w:suppressAutoHyphens w:val="0"/>
        <w:rPr>
          <w:rFonts w:eastAsia="Calibri"/>
          <w:lang w:eastAsia="en-US"/>
        </w:rPr>
      </w:pPr>
    </w:p>
    <w:p w14:paraId="68187B52" w14:textId="6D64A350" w:rsidR="0089472A" w:rsidRPr="005E67C2" w:rsidRDefault="0089472A" w:rsidP="0089472A">
      <w:pPr>
        <w:suppressAutoHyphens w:val="0"/>
        <w:rPr>
          <w:rFonts w:eastAsia="Calibri"/>
          <w:lang w:eastAsia="en-US"/>
        </w:rPr>
      </w:pPr>
    </w:p>
    <w:p w14:paraId="48DA2128" w14:textId="77777777"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3762A25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w:t>
      </w:r>
      <w:r w:rsidR="00B25503">
        <w:rPr>
          <w:sz w:val="22"/>
          <w:szCs w:val="22"/>
          <w:lang w:eastAsia="ru-RU"/>
        </w:rPr>
        <w:t>–</w:t>
      </w:r>
      <w:r w:rsidRPr="00AF5772">
        <w:rPr>
          <w:sz w:val="22"/>
          <w:szCs w:val="22"/>
          <w:lang w:eastAsia="ru-RU"/>
        </w:rPr>
        <w:t xml:space="preserve">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0A631EF6"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 xml:space="preserve">(далі </w:t>
      </w:r>
      <w:r w:rsidR="00B25503">
        <w:rPr>
          <w:sz w:val="22"/>
          <w:szCs w:val="22"/>
          <w:lang w:eastAsia="ru-RU"/>
        </w:rPr>
        <w:t>–</w:t>
      </w:r>
      <w:r w:rsidRPr="005E67C2">
        <w:rPr>
          <w:sz w:val="22"/>
          <w:szCs w:val="22"/>
          <w:lang w:eastAsia="ru-RU"/>
        </w:rPr>
        <w:t xml:space="preserve"> “Постачальник”), з іншої сторони (разом </w:t>
      </w:r>
      <w:r w:rsidR="00B25503">
        <w:rPr>
          <w:sz w:val="22"/>
          <w:szCs w:val="22"/>
          <w:lang w:eastAsia="ru-RU"/>
        </w:rPr>
        <w:t>–</w:t>
      </w:r>
      <w:r w:rsidRPr="005E67C2">
        <w:rPr>
          <w:sz w:val="22"/>
          <w:szCs w:val="22"/>
          <w:lang w:eastAsia="ru-RU"/>
        </w:rPr>
        <w:t xml:space="preserve">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B25503" w14:paraId="4A2F5C60" w14:textId="77777777" w:rsidTr="00E576FD">
        <w:trPr>
          <w:trHeight w:val="380"/>
        </w:trPr>
        <w:tc>
          <w:tcPr>
            <w:tcW w:w="410" w:type="dxa"/>
            <w:shd w:val="clear" w:color="auto" w:fill="FFFFFF"/>
          </w:tcPr>
          <w:p w14:paraId="27B99503"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w:t>
            </w:r>
          </w:p>
        </w:tc>
        <w:tc>
          <w:tcPr>
            <w:tcW w:w="1940" w:type="dxa"/>
            <w:shd w:val="clear" w:color="auto" w:fill="FFFFFF"/>
          </w:tcPr>
          <w:p w14:paraId="159669F6"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Найменування товару</w:t>
            </w:r>
          </w:p>
        </w:tc>
        <w:tc>
          <w:tcPr>
            <w:tcW w:w="1427" w:type="dxa"/>
            <w:shd w:val="clear" w:color="auto" w:fill="FFFFFF"/>
          </w:tcPr>
          <w:p w14:paraId="466BBBFD"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Одиниця виміру</w:t>
            </w:r>
          </w:p>
        </w:tc>
        <w:tc>
          <w:tcPr>
            <w:tcW w:w="1174" w:type="dxa"/>
            <w:shd w:val="clear" w:color="auto" w:fill="FFFFFF"/>
          </w:tcPr>
          <w:p w14:paraId="2E17A68A"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Кількість</w:t>
            </w:r>
          </w:p>
        </w:tc>
        <w:tc>
          <w:tcPr>
            <w:tcW w:w="2197" w:type="dxa"/>
            <w:shd w:val="clear" w:color="auto" w:fill="FFFFFF"/>
          </w:tcPr>
          <w:p w14:paraId="5C5CB680" w14:textId="14AFF8A7"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Ціна за од. без ПДВ, </w:t>
            </w:r>
            <w:r w:rsidR="00B25503" w:rsidRPr="00B25503">
              <w:rPr>
                <w:rFonts w:eastAsia="SimSun"/>
                <w:sz w:val="22"/>
                <w:szCs w:val="22"/>
                <w:lang w:eastAsia="uk-UA"/>
              </w:rPr>
              <w:pgNum/>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bookmarkStart w:id="4" w:name="_GoBack"/>
            <w:bookmarkEnd w:id="4"/>
          </w:p>
        </w:tc>
        <w:tc>
          <w:tcPr>
            <w:tcW w:w="2452" w:type="dxa"/>
            <w:shd w:val="clear" w:color="auto" w:fill="FFFFFF"/>
          </w:tcPr>
          <w:p w14:paraId="6BD23972" w14:textId="242BC6AA"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Сума без ПДВ, </w:t>
            </w:r>
            <w:r w:rsidR="00B25503" w:rsidRPr="00B25503">
              <w:rPr>
                <w:rFonts w:eastAsia="SimSun"/>
                <w:sz w:val="22"/>
                <w:szCs w:val="22"/>
                <w:lang w:eastAsia="uk-UA"/>
              </w:rPr>
              <w:pgNum/>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p w14:paraId="7AF2A84C" w14:textId="77777777" w:rsidR="0089472A" w:rsidRPr="00B25503" w:rsidRDefault="0089472A" w:rsidP="0089472A">
            <w:pPr>
              <w:suppressAutoHyphens w:val="0"/>
              <w:contextualSpacing/>
              <w:jc w:val="center"/>
              <w:rPr>
                <w:rFonts w:eastAsia="SimSun"/>
                <w:sz w:val="22"/>
                <w:szCs w:val="22"/>
                <w:lang w:eastAsia="uk-UA"/>
              </w:rPr>
            </w:pPr>
          </w:p>
        </w:tc>
      </w:tr>
      <w:tr w:rsidR="0089472A" w:rsidRPr="00B25503" w14:paraId="5E90CF76" w14:textId="77777777" w:rsidTr="00E576FD">
        <w:trPr>
          <w:trHeight w:val="280"/>
        </w:trPr>
        <w:tc>
          <w:tcPr>
            <w:tcW w:w="410" w:type="dxa"/>
            <w:shd w:val="clear" w:color="auto" w:fill="FFFFFF"/>
          </w:tcPr>
          <w:p w14:paraId="15F7B6F4" w14:textId="77777777" w:rsidR="0089472A" w:rsidRPr="00B25503" w:rsidRDefault="0089472A" w:rsidP="0089472A">
            <w:pPr>
              <w:suppressAutoHyphens w:val="0"/>
              <w:contextualSpacing/>
              <w:rPr>
                <w:rFonts w:eastAsia="SimSun"/>
                <w:sz w:val="22"/>
                <w:szCs w:val="22"/>
                <w:lang w:eastAsia="ru-RU"/>
              </w:rPr>
            </w:pPr>
            <w:r w:rsidRPr="00B25503">
              <w:rPr>
                <w:rFonts w:eastAsia="SimSun"/>
                <w:sz w:val="22"/>
                <w:szCs w:val="22"/>
                <w:lang w:eastAsia="ru-RU"/>
              </w:rPr>
              <w:t>1</w:t>
            </w:r>
          </w:p>
        </w:tc>
        <w:tc>
          <w:tcPr>
            <w:tcW w:w="1940" w:type="dxa"/>
            <w:shd w:val="clear" w:color="auto" w:fill="FFFFFF"/>
          </w:tcPr>
          <w:p w14:paraId="5B326D94" w14:textId="77777777" w:rsidR="0089472A" w:rsidRPr="00B25503"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B25503"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B25503" w:rsidRDefault="0089472A" w:rsidP="0089472A">
            <w:pPr>
              <w:suppressAutoHyphens w:val="0"/>
              <w:rPr>
                <w:lang w:eastAsia="ru-RU"/>
              </w:rPr>
            </w:pPr>
          </w:p>
        </w:tc>
        <w:tc>
          <w:tcPr>
            <w:tcW w:w="2197" w:type="dxa"/>
            <w:shd w:val="clear" w:color="auto" w:fill="FFFFFF"/>
          </w:tcPr>
          <w:p w14:paraId="3A268536" w14:textId="77777777" w:rsidR="0089472A" w:rsidRPr="00B25503"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B25503" w:rsidRDefault="0089472A" w:rsidP="0089472A">
            <w:pPr>
              <w:suppressAutoHyphens w:val="0"/>
              <w:contextualSpacing/>
              <w:jc w:val="center"/>
              <w:rPr>
                <w:rFonts w:eastAsia="SimSun"/>
                <w:sz w:val="22"/>
                <w:szCs w:val="22"/>
                <w:lang w:eastAsia="ru-RU"/>
              </w:rPr>
            </w:pPr>
          </w:p>
        </w:tc>
      </w:tr>
      <w:tr w:rsidR="008155A1" w:rsidRPr="00B25503" w14:paraId="6820C24C" w14:textId="77777777" w:rsidTr="00E576FD">
        <w:trPr>
          <w:trHeight w:val="280"/>
        </w:trPr>
        <w:tc>
          <w:tcPr>
            <w:tcW w:w="410" w:type="dxa"/>
            <w:shd w:val="clear" w:color="auto" w:fill="FFFFFF"/>
          </w:tcPr>
          <w:p w14:paraId="2C950382" w14:textId="7B92763D" w:rsidR="008155A1" w:rsidRPr="00B25503" w:rsidRDefault="008155A1" w:rsidP="0089472A">
            <w:pPr>
              <w:suppressAutoHyphens w:val="0"/>
              <w:contextualSpacing/>
              <w:rPr>
                <w:rFonts w:eastAsia="SimSun"/>
                <w:sz w:val="22"/>
                <w:szCs w:val="22"/>
                <w:lang w:eastAsia="ru-RU"/>
              </w:rPr>
            </w:pPr>
            <w:r w:rsidRPr="00B25503">
              <w:rPr>
                <w:rFonts w:eastAsia="SimSun"/>
                <w:sz w:val="22"/>
                <w:szCs w:val="22"/>
                <w:lang w:eastAsia="ru-RU"/>
              </w:rPr>
              <w:t>2</w:t>
            </w:r>
          </w:p>
        </w:tc>
        <w:tc>
          <w:tcPr>
            <w:tcW w:w="1940" w:type="dxa"/>
            <w:shd w:val="clear" w:color="auto" w:fill="FFFFFF"/>
          </w:tcPr>
          <w:p w14:paraId="6BB46C37" w14:textId="77777777" w:rsidR="008155A1" w:rsidRPr="00B25503"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B25503"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B25503" w:rsidRDefault="008155A1" w:rsidP="0089472A">
            <w:pPr>
              <w:suppressAutoHyphens w:val="0"/>
              <w:rPr>
                <w:lang w:eastAsia="ru-RU"/>
              </w:rPr>
            </w:pPr>
          </w:p>
        </w:tc>
        <w:tc>
          <w:tcPr>
            <w:tcW w:w="2197" w:type="dxa"/>
            <w:shd w:val="clear" w:color="auto" w:fill="FFFFFF"/>
          </w:tcPr>
          <w:p w14:paraId="49BC4056" w14:textId="77777777" w:rsidR="008155A1" w:rsidRPr="00B25503"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B25503" w:rsidRDefault="008155A1" w:rsidP="0089472A">
            <w:pPr>
              <w:suppressAutoHyphens w:val="0"/>
              <w:contextualSpacing/>
              <w:jc w:val="center"/>
              <w:rPr>
                <w:rFonts w:eastAsia="SimSun"/>
                <w:sz w:val="22"/>
                <w:szCs w:val="22"/>
                <w:lang w:eastAsia="ru-RU"/>
              </w:rPr>
            </w:pPr>
          </w:p>
        </w:tc>
      </w:tr>
      <w:tr w:rsidR="0089472A" w:rsidRPr="00B25503" w14:paraId="07BD8A67" w14:textId="77777777" w:rsidTr="00E576FD">
        <w:trPr>
          <w:trHeight w:val="280"/>
        </w:trPr>
        <w:tc>
          <w:tcPr>
            <w:tcW w:w="7148" w:type="dxa"/>
            <w:gridSpan w:val="5"/>
            <w:shd w:val="clear" w:color="auto" w:fill="FFFFFF"/>
          </w:tcPr>
          <w:p w14:paraId="7473D4E1" w14:textId="77777777" w:rsidR="0089472A" w:rsidRPr="00B25503" w:rsidRDefault="0089472A" w:rsidP="00B25503">
            <w:pPr>
              <w:tabs>
                <w:tab w:val="left" w:pos="1890"/>
              </w:tabs>
              <w:suppressAutoHyphens w:val="0"/>
              <w:contextualSpacing/>
              <w:jc w:val="right"/>
              <w:rPr>
                <w:rFonts w:eastAsia="SimSun"/>
                <w:sz w:val="22"/>
                <w:szCs w:val="22"/>
                <w:lang w:eastAsia="ru-RU"/>
              </w:rPr>
            </w:pPr>
            <w:r w:rsidRPr="00B25503">
              <w:rPr>
                <w:sz w:val="22"/>
                <w:szCs w:val="22"/>
                <w:lang w:eastAsia="ru-RU"/>
              </w:rPr>
              <w:t>Сума без ПДВ</w:t>
            </w:r>
          </w:p>
        </w:tc>
        <w:tc>
          <w:tcPr>
            <w:tcW w:w="2452" w:type="dxa"/>
            <w:shd w:val="clear" w:color="auto" w:fill="FFFFFF"/>
          </w:tcPr>
          <w:p w14:paraId="1ABAB4FA" w14:textId="77777777" w:rsidR="0089472A" w:rsidRPr="00B25503" w:rsidRDefault="0089472A" w:rsidP="0089472A">
            <w:pPr>
              <w:suppressAutoHyphens w:val="0"/>
              <w:contextualSpacing/>
              <w:jc w:val="center"/>
              <w:rPr>
                <w:rFonts w:eastAsia="SimSun"/>
                <w:sz w:val="22"/>
                <w:szCs w:val="22"/>
                <w:lang w:eastAsia="ru-RU"/>
              </w:rPr>
            </w:pPr>
          </w:p>
        </w:tc>
      </w:tr>
      <w:tr w:rsidR="0089472A" w:rsidRPr="00B25503" w14:paraId="4130188A" w14:textId="77777777" w:rsidTr="00E576FD">
        <w:trPr>
          <w:trHeight w:val="280"/>
        </w:trPr>
        <w:tc>
          <w:tcPr>
            <w:tcW w:w="7148" w:type="dxa"/>
            <w:gridSpan w:val="5"/>
            <w:shd w:val="clear" w:color="auto" w:fill="FFFFFF"/>
          </w:tcPr>
          <w:p w14:paraId="0D735202" w14:textId="77777777" w:rsidR="0089472A" w:rsidRPr="00B25503" w:rsidRDefault="0089472A" w:rsidP="00B25503">
            <w:pPr>
              <w:suppressAutoHyphens w:val="0"/>
              <w:contextualSpacing/>
              <w:jc w:val="right"/>
              <w:rPr>
                <w:rFonts w:eastAsia="SimSun"/>
                <w:sz w:val="22"/>
                <w:szCs w:val="22"/>
                <w:lang w:eastAsia="ru-RU"/>
              </w:rPr>
            </w:pPr>
            <w:r w:rsidRPr="00B25503">
              <w:rPr>
                <w:sz w:val="22"/>
                <w:szCs w:val="22"/>
                <w:lang w:eastAsia="ru-RU"/>
              </w:rPr>
              <w:t>ПДВ</w:t>
            </w:r>
          </w:p>
        </w:tc>
        <w:tc>
          <w:tcPr>
            <w:tcW w:w="2452" w:type="dxa"/>
            <w:shd w:val="clear" w:color="auto" w:fill="FFFFFF"/>
          </w:tcPr>
          <w:p w14:paraId="1C1DE03C" w14:textId="77777777" w:rsidR="0089472A" w:rsidRPr="00B25503" w:rsidRDefault="0089472A" w:rsidP="0089472A">
            <w:pPr>
              <w:suppressAutoHyphens w:val="0"/>
              <w:contextualSpacing/>
              <w:jc w:val="center"/>
              <w:rPr>
                <w:rFonts w:eastAsia="SimSun"/>
                <w:sz w:val="22"/>
                <w:szCs w:val="22"/>
                <w:lang w:eastAsia="ru-RU"/>
              </w:rPr>
            </w:pPr>
          </w:p>
        </w:tc>
      </w:tr>
      <w:tr w:rsidR="00B25503" w:rsidRPr="00B25503" w14:paraId="61F48567" w14:textId="77777777" w:rsidTr="00E576FD">
        <w:trPr>
          <w:trHeight w:val="280"/>
        </w:trPr>
        <w:tc>
          <w:tcPr>
            <w:tcW w:w="7148" w:type="dxa"/>
            <w:gridSpan w:val="5"/>
            <w:shd w:val="clear" w:color="auto" w:fill="FFFFFF"/>
          </w:tcPr>
          <w:p w14:paraId="3F6E8529" w14:textId="6A710B80" w:rsidR="00B25503" w:rsidRPr="00B25503" w:rsidRDefault="00B25503" w:rsidP="00B25503">
            <w:pPr>
              <w:suppressAutoHyphens w:val="0"/>
              <w:contextualSpacing/>
              <w:jc w:val="right"/>
              <w:rPr>
                <w:sz w:val="22"/>
                <w:szCs w:val="22"/>
                <w:lang w:val="ru-RU" w:eastAsia="ru-RU"/>
              </w:rPr>
            </w:pPr>
            <w:proofErr w:type="spellStart"/>
            <w:r w:rsidRPr="00B25503">
              <w:rPr>
                <w:sz w:val="22"/>
                <w:szCs w:val="22"/>
                <w:lang w:val="ru-RU" w:eastAsia="ru-RU"/>
              </w:rPr>
              <w:t>Всього</w:t>
            </w:r>
            <w:proofErr w:type="spellEnd"/>
            <w:r w:rsidRPr="00B25503">
              <w:rPr>
                <w:sz w:val="22"/>
                <w:szCs w:val="22"/>
                <w:lang w:val="ru-RU" w:eastAsia="ru-RU"/>
              </w:rPr>
              <w:t xml:space="preserve"> з ПДВ</w:t>
            </w:r>
          </w:p>
        </w:tc>
        <w:tc>
          <w:tcPr>
            <w:tcW w:w="2452" w:type="dxa"/>
            <w:shd w:val="clear" w:color="auto" w:fill="FFFFFF"/>
          </w:tcPr>
          <w:p w14:paraId="0DF743E6" w14:textId="77777777" w:rsidR="00B25503" w:rsidRPr="00B25503" w:rsidRDefault="00B25503" w:rsidP="0089472A">
            <w:pPr>
              <w:suppressAutoHyphens w:val="0"/>
              <w:contextualSpacing/>
              <w:jc w:val="center"/>
              <w:rPr>
                <w:rFonts w:eastAsia="SimSun"/>
                <w:sz w:val="22"/>
                <w:szCs w:val="22"/>
                <w:lang w:eastAsia="ru-RU"/>
              </w:rPr>
            </w:pPr>
          </w:p>
        </w:tc>
      </w:tr>
    </w:tbl>
    <w:p w14:paraId="6D2A4F8E" w14:textId="77777777" w:rsidR="0089472A" w:rsidRPr="00B25503" w:rsidRDefault="0089472A" w:rsidP="0089472A">
      <w:pPr>
        <w:numPr>
          <w:ilvl w:val="0"/>
          <w:numId w:val="18"/>
        </w:numPr>
        <w:suppressAutoHyphens w:val="0"/>
        <w:ind w:left="0" w:firstLine="0"/>
        <w:contextualSpacing/>
        <w:jc w:val="both"/>
        <w:rPr>
          <w:rFonts w:eastAsia="Tahoma"/>
          <w:sz w:val="22"/>
          <w:szCs w:val="22"/>
          <w:lang w:eastAsia="ru-RU"/>
        </w:rPr>
      </w:pPr>
      <w:r w:rsidRPr="00B25503">
        <w:rPr>
          <w:sz w:val="22"/>
          <w:szCs w:val="22"/>
          <w:lang w:eastAsia="ru-RU"/>
        </w:rPr>
        <w:tab/>
      </w:r>
      <w:r w:rsidRPr="00B25503">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4. Товар поставляється на умовах поставки: СРТ, склад Покупця: 85300, Донецька обл., </w:t>
      </w:r>
      <w:proofErr w:type="spellStart"/>
      <w:r w:rsidRPr="005E67C2">
        <w:rPr>
          <w:sz w:val="22"/>
          <w:szCs w:val="22"/>
          <w:lang w:eastAsia="ru-RU"/>
        </w:rPr>
        <w:t>м.Покровськ</w:t>
      </w:r>
      <w:proofErr w:type="spellEnd"/>
      <w:r w:rsidRPr="005E67C2">
        <w:rPr>
          <w:sz w:val="22"/>
          <w:szCs w:val="22"/>
          <w:lang w:eastAsia="ru-RU"/>
        </w:rPr>
        <w:t xml:space="preserve">, </w:t>
      </w:r>
      <w:proofErr w:type="spellStart"/>
      <w:r w:rsidRPr="005E67C2">
        <w:rPr>
          <w:sz w:val="22"/>
          <w:szCs w:val="22"/>
          <w:lang w:eastAsia="ru-RU"/>
        </w:rPr>
        <w:t>вул</w:t>
      </w:r>
      <w:proofErr w:type="spellEnd"/>
      <w:r w:rsidRPr="005E67C2">
        <w:rPr>
          <w:sz w:val="22"/>
          <w:szCs w:val="22"/>
          <w:lang w:eastAsia="ru-RU"/>
        </w:rPr>
        <w:t xml:space="preserve">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85300, Донецька обл., м. </w:t>
      </w:r>
      <w:proofErr w:type="spellStart"/>
      <w:r w:rsidRPr="005E67C2">
        <w:rPr>
          <w:sz w:val="22"/>
          <w:szCs w:val="22"/>
          <w:lang w:eastAsia="ru-RU"/>
        </w:rPr>
        <w:t>Покровськ</w:t>
      </w:r>
      <w:proofErr w:type="spellEnd"/>
      <w:r w:rsidRPr="005E67C2">
        <w:rPr>
          <w:sz w:val="22"/>
          <w:szCs w:val="22"/>
          <w:lang w:eastAsia="ru-RU"/>
        </w:rPr>
        <w:t xml:space="preserve">, </w:t>
      </w:r>
      <w:proofErr w:type="spellStart"/>
      <w:r w:rsidRPr="005E67C2">
        <w:rPr>
          <w:sz w:val="22"/>
          <w:szCs w:val="22"/>
          <w:lang w:eastAsia="ru-RU"/>
        </w:rPr>
        <w:t>вул</w:t>
      </w:r>
      <w:proofErr w:type="spellEnd"/>
      <w:r w:rsidRPr="005E67C2">
        <w:rPr>
          <w:sz w:val="22"/>
          <w:szCs w:val="22"/>
          <w:lang w:eastAsia="ru-RU"/>
        </w:rPr>
        <w:t xml:space="preserve">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070"/>
        <w:gridCol w:w="4927"/>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10"/>
      <w:footerReference w:type="default" r:id="rId11"/>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9D2A7" w14:textId="77777777" w:rsidR="00D04C62" w:rsidRDefault="00D04C62">
      <w:r>
        <w:separator/>
      </w:r>
    </w:p>
  </w:endnote>
  <w:endnote w:type="continuationSeparator" w:id="0">
    <w:p w14:paraId="6D4FF57E" w14:textId="77777777" w:rsidR="00D04C62" w:rsidRDefault="00D0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53F4" w14:textId="77777777" w:rsidR="00D04C62" w:rsidRDefault="00D04C62">
      <w:r>
        <w:separator/>
      </w:r>
    </w:p>
  </w:footnote>
  <w:footnote w:type="continuationSeparator" w:id="0">
    <w:p w14:paraId="5028E717" w14:textId="77777777" w:rsidR="00D04C62" w:rsidRDefault="00D0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02A0" w14:textId="380DA41A"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B25503">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5503"/>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17F68"/>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4C62"/>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F7D244-4B7E-45AC-B35E-C9D844A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6141</Words>
  <Characters>35010</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Admin</cp:lastModifiedBy>
  <cp:revision>37</cp:revision>
  <dcterms:created xsi:type="dcterms:W3CDTF">2023-03-17T10:03:00Z</dcterms:created>
  <dcterms:modified xsi:type="dcterms:W3CDTF">2023-09-26T05:44:00Z</dcterms:modified>
</cp:coreProperties>
</file>