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D259C0">
        <w:rPr>
          <w:b/>
          <w:i/>
          <w:sz w:val="28"/>
          <w:szCs w:val="28"/>
        </w:rPr>
        <w:t>детектори та аналізатори (біохімічний аналізатор автоматичний)</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D259C0">
        <w:rPr>
          <w:b/>
          <w:i/>
          <w:sz w:val="28"/>
          <w:szCs w:val="28"/>
        </w:rPr>
        <w:t>3843</w:t>
      </w:r>
      <w:r w:rsidR="00F87AA0">
        <w:rPr>
          <w:b/>
          <w:i/>
          <w:sz w:val="28"/>
          <w:szCs w:val="28"/>
        </w:rPr>
        <w:t>0000-</w:t>
      </w:r>
      <w:r w:rsidR="00D259C0">
        <w:rPr>
          <w:b/>
          <w:i/>
          <w:sz w:val="28"/>
          <w:szCs w:val="28"/>
        </w:rPr>
        <w:t>8</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D259C0">
        <w:rPr>
          <w:b/>
          <w:i/>
          <w:sz w:val="28"/>
          <w:szCs w:val="28"/>
        </w:rPr>
        <w:t>детектори та аналізатори (біохімічний аналізатор автоматичний)</w:t>
      </w:r>
      <w:r w:rsidR="001A1BE0">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C49C3">
        <w:rPr>
          <w:b/>
          <w:bCs/>
          <w:sz w:val="28"/>
          <w:szCs w:val="28"/>
          <w:u w:val="single"/>
        </w:rPr>
        <w:t>3110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756FCA" w:rsidRDefault="001929D7" w:rsidP="00591258">
      <w:pPr>
        <w:pStyle w:val="HTML"/>
        <w:numPr>
          <w:ilvl w:val="1"/>
          <w:numId w:val="1"/>
        </w:numPr>
        <w:tabs>
          <w:tab w:val="clear" w:pos="495"/>
          <w:tab w:val="num" w:pos="720"/>
        </w:tabs>
        <w:ind w:left="720" w:hanging="720"/>
        <w:jc w:val="both"/>
        <w:rPr>
          <w:rFonts w:ascii="Times New Roman" w:hAnsi="Times New Roman" w:cs="Times New Roman"/>
          <w:b/>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02274" w:rsidRPr="00243CEF">
        <w:rPr>
          <w:rFonts w:ascii="Times New Roman" w:hAnsi="Times New Roman" w:cs="Times New Roman"/>
          <w:color w:val="auto"/>
          <w:sz w:val="28"/>
          <w:szCs w:val="28"/>
        </w:rPr>
        <w:t xml:space="preserve">моменту підписання </w:t>
      </w:r>
      <w:r w:rsidR="00F50DF7" w:rsidRPr="00243CEF">
        <w:rPr>
          <w:rFonts w:ascii="Times New Roman" w:hAnsi="Times New Roman" w:cs="Times New Roman"/>
          <w:color w:val="auto"/>
          <w:sz w:val="28"/>
          <w:szCs w:val="28"/>
        </w:rPr>
        <w:t xml:space="preserve"> </w:t>
      </w:r>
      <w:r w:rsidR="00F50DF7" w:rsidRPr="00756FCA">
        <w:rPr>
          <w:rFonts w:ascii="Times New Roman" w:hAnsi="Times New Roman" w:cs="Times New Roman"/>
          <w:b/>
          <w:color w:val="auto"/>
          <w:sz w:val="28"/>
          <w:szCs w:val="28"/>
        </w:rPr>
        <w:t>по 31.12. 202</w:t>
      </w:r>
      <w:r w:rsidR="00366BFB">
        <w:rPr>
          <w:rFonts w:ascii="Times New Roman" w:hAnsi="Times New Roman" w:cs="Times New Roman"/>
          <w:b/>
          <w:color w:val="auto"/>
          <w:sz w:val="28"/>
          <w:szCs w:val="28"/>
        </w:rPr>
        <w:t>4</w:t>
      </w:r>
      <w:r w:rsidRPr="00756FCA">
        <w:rPr>
          <w:rFonts w:ascii="Times New Roman" w:hAnsi="Times New Roman" w:cs="Times New Roman"/>
          <w:b/>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1A1BE0" w:rsidRDefault="001A1BE0"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985584" w:rsidRPr="003D0DFD" w:rsidRDefault="00985584" w:rsidP="00985584">
      <w:pPr>
        <w:jc w:val="center"/>
        <w:rPr>
          <w:b/>
          <w:sz w:val="28"/>
          <w:szCs w:val="28"/>
        </w:rPr>
      </w:pPr>
      <w:r w:rsidRPr="003D0DFD">
        <w:rPr>
          <w:b/>
          <w:sz w:val="28"/>
          <w:szCs w:val="28"/>
        </w:rPr>
        <w:t>Детектори та аналізатори</w:t>
      </w:r>
    </w:p>
    <w:p w:rsidR="00985584" w:rsidRPr="003D0DFD" w:rsidRDefault="00985584" w:rsidP="00985584">
      <w:pPr>
        <w:jc w:val="center"/>
        <w:rPr>
          <w:b/>
          <w:sz w:val="28"/>
          <w:szCs w:val="28"/>
        </w:rPr>
      </w:pPr>
      <w:r>
        <w:rPr>
          <w:b/>
          <w:sz w:val="28"/>
          <w:szCs w:val="28"/>
        </w:rPr>
        <w:t>(</w:t>
      </w:r>
      <w:r w:rsidRPr="003D0DFD">
        <w:rPr>
          <w:b/>
          <w:sz w:val="28"/>
          <w:szCs w:val="28"/>
        </w:rPr>
        <w:t>Біохімічний аналізато</w:t>
      </w:r>
      <w:r>
        <w:rPr>
          <w:b/>
          <w:sz w:val="28"/>
          <w:szCs w:val="28"/>
        </w:rPr>
        <w:t>р</w:t>
      </w:r>
      <w:r w:rsidRPr="003D0DFD">
        <w:rPr>
          <w:b/>
          <w:sz w:val="28"/>
          <w:szCs w:val="28"/>
        </w:rPr>
        <w:t xml:space="preserve"> автоматичний</w:t>
      </w:r>
      <w:r>
        <w:rPr>
          <w:b/>
          <w:sz w:val="28"/>
          <w:szCs w:val="28"/>
        </w:rPr>
        <w:t>)</w:t>
      </w:r>
    </w:p>
    <w:p w:rsidR="001A1BE0" w:rsidRDefault="001A1BE0" w:rsidP="001A1BE0">
      <w:pPr>
        <w:jc w:val="center"/>
        <w:rPr>
          <w:b/>
          <w:sz w:val="28"/>
        </w:rPr>
      </w:pPr>
      <w:r>
        <w:rPr>
          <w:sz w:val="28"/>
        </w:rPr>
        <w:t xml:space="preserve">код ДК 021:2015– </w:t>
      </w:r>
      <w:r w:rsidR="00985584">
        <w:rPr>
          <w:b/>
          <w:sz w:val="28"/>
        </w:rPr>
        <w:t>34830000-8</w:t>
      </w:r>
      <w:r>
        <w:rPr>
          <w:b/>
          <w:sz w:val="28"/>
        </w:rPr>
        <w:t xml:space="preserve"> </w:t>
      </w:r>
    </w:p>
    <w:p w:rsidR="005A79CC" w:rsidRDefault="003E3B00" w:rsidP="00E57B5A">
      <w:pPr>
        <w:pStyle w:val="a4"/>
        <w:spacing w:after="0"/>
        <w:jc w:val="center"/>
      </w:pPr>
      <w:r w:rsidRPr="00CF1B9D">
        <w:t>Код  Товару відповідно до  ДК 021:2015</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544"/>
        <w:gridCol w:w="1418"/>
        <w:gridCol w:w="1275"/>
        <w:gridCol w:w="1276"/>
        <w:gridCol w:w="2126"/>
      </w:tblGrid>
      <w:tr w:rsidR="001A1BE0" w:rsidRPr="00E35BD7" w:rsidTr="001A1BE0">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8"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8B0143">
            <w:pPr>
              <w:ind w:firstLine="0"/>
            </w:pPr>
            <w:r w:rsidRPr="002C6AB2">
              <w:t>Кількість</w:t>
            </w:r>
          </w:p>
        </w:tc>
        <w:tc>
          <w:tcPr>
            <w:tcW w:w="127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212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1A1BE0" w:rsidRPr="00E35BD7" w:rsidTr="001A1BE0">
        <w:trPr>
          <w:trHeight w:val="1017"/>
        </w:trPr>
        <w:tc>
          <w:tcPr>
            <w:tcW w:w="567" w:type="dxa"/>
            <w:tcBorders>
              <w:top w:val="single" w:sz="4" w:space="0" w:color="auto"/>
              <w:left w:val="single" w:sz="4" w:space="0" w:color="auto"/>
              <w:bottom w:val="single" w:sz="4" w:space="0" w:color="auto"/>
              <w:right w:val="single" w:sz="4" w:space="0" w:color="auto"/>
            </w:tcBorders>
          </w:tcPr>
          <w:p w:rsidR="001A1BE0" w:rsidRPr="00F026FA" w:rsidRDefault="001A1BE0" w:rsidP="007709D7">
            <w:pPr>
              <w:ind w:firstLine="0"/>
              <w:jc w:val="center"/>
            </w:pPr>
            <w:r w:rsidRPr="00F026FA">
              <w:t>1</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A1BE0" w:rsidRDefault="00985584" w:rsidP="001A1BE0">
            <w:pPr>
              <w:spacing w:after="160" w:line="259" w:lineRule="auto"/>
              <w:ind w:firstLine="0"/>
              <w:jc w:val="left"/>
            </w:pPr>
            <w:r w:rsidRPr="0071409B">
              <w:t xml:space="preserve">Автоматичний біохімічний аналізатор    </w:t>
            </w:r>
            <w:bookmarkStart w:id="17" w:name="_GoBack"/>
            <w:bookmarkEnd w:id="17"/>
          </w:p>
        </w:tc>
        <w:tc>
          <w:tcPr>
            <w:tcW w:w="1418" w:type="dxa"/>
            <w:tcBorders>
              <w:top w:val="single" w:sz="4" w:space="0" w:color="auto"/>
              <w:left w:val="single" w:sz="4" w:space="0" w:color="auto"/>
              <w:bottom w:val="single" w:sz="4" w:space="0" w:color="auto"/>
              <w:right w:val="single" w:sz="4" w:space="0" w:color="auto"/>
            </w:tcBorders>
          </w:tcPr>
          <w:p w:rsidR="001A1BE0" w:rsidRDefault="001A1BE0">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AA10C9">
            <w:r>
              <w:t>1</w:t>
            </w:r>
          </w:p>
        </w:tc>
        <w:tc>
          <w:tcPr>
            <w:tcW w:w="1276" w:type="dxa"/>
            <w:tcBorders>
              <w:left w:val="single" w:sz="4" w:space="0" w:color="auto"/>
              <w:right w:val="single" w:sz="4" w:space="0" w:color="auto"/>
            </w:tcBorders>
          </w:tcPr>
          <w:p w:rsidR="001A1BE0" w:rsidRPr="00F026FA" w:rsidRDefault="001A1BE0" w:rsidP="007709D7"/>
        </w:tc>
        <w:tc>
          <w:tcPr>
            <w:tcW w:w="2126" w:type="dxa"/>
            <w:tcBorders>
              <w:left w:val="single" w:sz="4" w:space="0" w:color="auto"/>
              <w:right w:val="single" w:sz="4" w:space="0" w:color="auto"/>
            </w:tcBorders>
          </w:tcPr>
          <w:p w:rsidR="001A1BE0" w:rsidRPr="00F026FA" w:rsidRDefault="001A1BE0" w:rsidP="007709D7"/>
        </w:tc>
      </w:tr>
    </w:tbl>
    <w:p w:rsidR="000F4293" w:rsidRDefault="000F4293" w:rsidP="00591258">
      <w:pPr>
        <w:tabs>
          <w:tab w:val="left" w:pos="5472"/>
          <w:tab w:val="left" w:pos="5643"/>
        </w:tabs>
        <w:spacing w:line="240" w:lineRule="auto"/>
        <w:ind w:firstLine="0"/>
        <w:rPr>
          <w:b/>
          <w:bCs/>
          <w:sz w:val="28"/>
          <w:szCs w:val="28"/>
        </w:rPr>
      </w:pPr>
    </w:p>
    <w:p w:rsidR="001A1BE0" w:rsidRPr="00CF1B9D" w:rsidRDefault="001A1BE0" w:rsidP="001A1BE0">
      <w:pPr>
        <w:tabs>
          <w:tab w:val="left" w:pos="1080"/>
        </w:tabs>
        <w:spacing w:line="240" w:lineRule="auto"/>
        <w:ind w:right="-101" w:firstLine="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A1BE0" w:rsidRDefault="001A1BE0" w:rsidP="00591258">
      <w:pPr>
        <w:tabs>
          <w:tab w:val="left" w:pos="5472"/>
          <w:tab w:val="left" w:pos="5643"/>
        </w:tabs>
        <w:spacing w:line="240" w:lineRule="auto"/>
        <w:ind w:firstLine="0"/>
        <w:rPr>
          <w:b/>
          <w:bCs/>
          <w:sz w:val="28"/>
          <w:szCs w:val="28"/>
        </w:rPr>
      </w:pPr>
    </w:p>
    <w:p w:rsidR="001A1BE0" w:rsidRDefault="001A1BE0"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711C"/>
    <w:rsid w:val="001929D7"/>
    <w:rsid w:val="001A1BE0"/>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56F0B"/>
    <w:rsid w:val="00562D6D"/>
    <w:rsid w:val="00591258"/>
    <w:rsid w:val="005A4879"/>
    <w:rsid w:val="005A79CC"/>
    <w:rsid w:val="005B5FBC"/>
    <w:rsid w:val="005F7EBE"/>
    <w:rsid w:val="00602274"/>
    <w:rsid w:val="0060698C"/>
    <w:rsid w:val="00620B9A"/>
    <w:rsid w:val="00634237"/>
    <w:rsid w:val="006669C8"/>
    <w:rsid w:val="006846DB"/>
    <w:rsid w:val="00684A87"/>
    <w:rsid w:val="006B2EFC"/>
    <w:rsid w:val="006B42DA"/>
    <w:rsid w:val="006B71F0"/>
    <w:rsid w:val="006C49C3"/>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584"/>
    <w:rsid w:val="00985AD9"/>
    <w:rsid w:val="009E0B0A"/>
    <w:rsid w:val="009E15C1"/>
    <w:rsid w:val="009E5230"/>
    <w:rsid w:val="009F1C10"/>
    <w:rsid w:val="009F2235"/>
    <w:rsid w:val="009F2D47"/>
    <w:rsid w:val="00A02681"/>
    <w:rsid w:val="00A113FA"/>
    <w:rsid w:val="00A33648"/>
    <w:rsid w:val="00A56A91"/>
    <w:rsid w:val="00A91962"/>
    <w:rsid w:val="00AA5ECE"/>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259C0"/>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87B1-9279-4C78-8DC8-A8257477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3592</Words>
  <Characters>24851</Characters>
  <Application>Microsoft Office Word</Application>
  <DocSecurity>0</DocSecurity>
  <Lines>207</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82</cp:revision>
  <dcterms:created xsi:type="dcterms:W3CDTF">2022-07-05T09:32:00Z</dcterms:created>
  <dcterms:modified xsi:type="dcterms:W3CDTF">2024-03-18T13:54:00Z</dcterms:modified>
</cp:coreProperties>
</file>