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78292E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27B7A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p w:rsidR="0078292E" w:rsidRPr="00227B7A" w:rsidRDefault="0078292E" w:rsidP="0078292E">
      <w:pPr>
        <w:spacing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К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валіфікаційн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і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 критерії відповідно до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6" w:anchor="n1250" w:tgtFrame="_blank" w:history="1">
        <w:r w:rsidRPr="00660B68">
          <w:rPr>
            <w:rStyle w:val="a5"/>
            <w:rFonts w:ascii="Times New Roman" w:hAnsi="Times New Roman"/>
            <w:b/>
            <w:color w:val="000000" w:themeColor="text1"/>
            <w:shd w:val="clear" w:color="auto" w:fill="FFFFFF"/>
            <w:lang w:val="uk-UA"/>
          </w:rPr>
          <w:t>статті 16</w:t>
        </w:r>
      </w:hyperlink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Закону з урахуванням положень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О</w:t>
      </w:r>
      <w:r w:rsidRPr="00FE2BED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</w:t>
      </w:r>
    </w:p>
    <w:p w:rsidR="00660B68" w:rsidRPr="00FE2BED" w:rsidRDefault="00660B68" w:rsidP="00660B68">
      <w:pPr>
        <w:keepNext/>
        <w:keepLines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0B68" w:rsidRPr="00D21089" w:rsidRDefault="00660B68" w:rsidP="00660B68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1089">
        <w:rPr>
          <w:rFonts w:ascii="Times New Roman" w:hAnsi="Times New Roman"/>
          <w:b/>
          <w:sz w:val="24"/>
          <w:szCs w:val="24"/>
          <w:lang w:val="uk-UA"/>
        </w:rPr>
        <w:t>Перелік документів та інформації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для підтвердження відповідності УЧАСНИКА</w:t>
      </w:r>
      <w:r w:rsidRPr="00A97B3C">
        <w:rPr>
          <w:rFonts w:ascii="Times New Roman" w:hAnsi="Times New Roman"/>
          <w:b/>
          <w:sz w:val="24"/>
          <w:szCs w:val="24"/>
        </w:rPr>
        <w:t> 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“Про</w:t>
      </w:r>
      <w:proofErr w:type="spellEnd"/>
      <w:r w:rsidRPr="00D21089">
        <w:rPr>
          <w:rFonts w:ascii="Times New Roman" w:hAnsi="Times New Roman"/>
          <w:b/>
          <w:sz w:val="24"/>
          <w:szCs w:val="24"/>
          <w:lang w:val="uk-UA"/>
        </w:rPr>
        <w:t xml:space="preserve"> публічні </w:t>
      </w:r>
      <w:proofErr w:type="spellStart"/>
      <w:r w:rsidRPr="00D21089">
        <w:rPr>
          <w:rFonts w:ascii="Times New Roman" w:hAnsi="Times New Roman"/>
          <w:b/>
          <w:sz w:val="24"/>
          <w:szCs w:val="24"/>
          <w:lang w:val="uk-UA"/>
        </w:rPr>
        <w:t>закупівлі”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 урахуванням Особливостей</w:t>
      </w:r>
      <w:r w:rsidRPr="00D21089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684"/>
        <w:gridCol w:w="5376"/>
      </w:tblGrid>
      <w:tr w:rsidR="00660B68" w:rsidRPr="00CE719C" w:rsidTr="00B21606">
        <w:trPr>
          <w:trHeight w:val="690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Документи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 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ідтверджують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відповідність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кваліфікаційним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критеріям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660B68" w:rsidRPr="00CE719C" w:rsidTr="00B21606">
        <w:trPr>
          <w:trHeight w:val="101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досвіду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за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договорів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однієї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копії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повному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обсязі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менше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одного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листа-відгука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рекомендаційного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листа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тощо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контрагента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згідно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договором,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належне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цього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договору. </w:t>
            </w:r>
          </w:p>
          <w:p w:rsidR="00660B68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Аналогічним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договором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вважається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, за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яким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постача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="00286F4F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деревину</w:t>
            </w:r>
            <w:r w:rsidR="00855E7F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, дрова</w:t>
            </w:r>
            <w:r w:rsidR="00286F4F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догові</w:t>
            </w:r>
            <w:proofErr w:type="gram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може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надаватися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додаткових</w:t>
            </w:r>
            <w:proofErr w:type="spellEnd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угод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аналогічного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договору,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зазначені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ньому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як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невід’ємні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частини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договору.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Їх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відсутність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не буде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вважатись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невідповідністю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учасника</w:t>
            </w:r>
            <w:proofErr w:type="spellEnd"/>
          </w:p>
        </w:tc>
      </w:tr>
    </w:tbl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* У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разі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CE719C">
        <w:rPr>
          <w:rFonts w:ascii="Times New Roman" w:hAnsi="Times New Roman"/>
          <w:i/>
          <w:color w:val="auto"/>
          <w:sz w:val="24"/>
          <w:szCs w:val="24"/>
        </w:rPr>
        <w:t>п</w:t>
      </w:r>
      <w:proofErr w:type="gramEnd"/>
      <w:r w:rsidRPr="00CE719C">
        <w:rPr>
          <w:rFonts w:ascii="Times New Roman" w:hAnsi="Times New Roman"/>
          <w:i/>
          <w:color w:val="auto"/>
          <w:sz w:val="24"/>
          <w:szCs w:val="24"/>
        </w:rPr>
        <w:t>ідтвердження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відповідності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кваліфікаційним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критеріям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здійснюється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з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урахуванням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узагальнених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об’єднаних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показників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кожного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учасника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такого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на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підставі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наданої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об’єднанням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i/>
          <w:color w:val="auto"/>
          <w:sz w:val="24"/>
          <w:szCs w:val="24"/>
        </w:rPr>
        <w:t>інформації</w:t>
      </w:r>
      <w:proofErr w:type="spellEnd"/>
      <w:r w:rsidRPr="00CE719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660B68" w:rsidRPr="00CE719C" w:rsidRDefault="00660B68" w:rsidP="00660B68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0B68" w:rsidRPr="00CE719C" w:rsidRDefault="00660B68" w:rsidP="00660B6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Інші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вимоги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встановлені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відповідно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до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законодавства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(для УЧАСНИКІВ –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юридичних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CE719C">
        <w:rPr>
          <w:rFonts w:ascii="Times New Roman" w:hAnsi="Times New Roman"/>
          <w:b/>
          <w:color w:val="auto"/>
          <w:sz w:val="24"/>
          <w:szCs w:val="24"/>
        </w:rPr>
        <w:t>осіб</w:t>
      </w:r>
      <w:proofErr w:type="spellEnd"/>
      <w:proofErr w:type="gram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фізичних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осіб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та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фізичних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осіб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>–</w:t>
      </w:r>
      <w:proofErr w:type="spellStart"/>
      <w:r w:rsidRPr="00CE719C">
        <w:rPr>
          <w:rFonts w:ascii="Times New Roman" w:hAnsi="Times New Roman"/>
          <w:b/>
          <w:color w:val="auto"/>
          <w:sz w:val="24"/>
          <w:szCs w:val="24"/>
        </w:rPr>
        <w:t>підприємців</w:t>
      </w:r>
      <w:proofErr w:type="spellEnd"/>
      <w:r w:rsidRPr="00CE719C">
        <w:rPr>
          <w:rFonts w:ascii="Times New Roman" w:hAnsi="Times New Roman"/>
          <w:b/>
          <w:color w:val="auto"/>
          <w:sz w:val="24"/>
          <w:szCs w:val="24"/>
        </w:rPr>
        <w:t>):</w:t>
      </w:r>
    </w:p>
    <w:tbl>
      <w:tblPr>
        <w:tblW w:w="96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7"/>
        <w:gridCol w:w="8952"/>
      </w:tblGrid>
      <w:tr w:rsidR="00660B68" w:rsidRPr="00CE719C" w:rsidTr="00B2160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Інші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документи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від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660B68" w:rsidRPr="00CE719C" w:rsidTr="00B21606">
        <w:trPr>
          <w:trHeight w:val="80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ind w:left="10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подається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керівником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зазначеним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Єдиному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державному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реє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стр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юридичних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фізичних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підприємців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громадських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формувань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іншою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особою,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надає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довіреність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доручення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таку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особу</w:t>
            </w:r>
          </w:p>
        </w:tc>
      </w:tr>
      <w:tr w:rsidR="00660B68" w:rsidRPr="00CE719C" w:rsidTr="00B21606">
        <w:trPr>
          <w:trHeight w:val="129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свідоцтва платника ПДВ/витяг з реєстру платників ПДВ (для учасника, який є платником ПДВ) або копію свідоцтва про сплату єдиного податку/витягу з реєстру платників єдиного податку (для учасника, який є платником єдиного податку). 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вищезазначених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складена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часником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472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</w:t>
            </w:r>
            <w:proofErr w:type="spellEnd"/>
          </w:p>
        </w:tc>
      </w:tr>
      <w:tr w:rsidR="00660B68" w:rsidRPr="00CE719C" w:rsidTr="00B21606">
        <w:trPr>
          <w:trHeight w:val="58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ind w:left="10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Достовірна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інформація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вигляді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довідки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довільної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форми</w:t>
            </w:r>
            <w:proofErr w:type="spellEnd"/>
            <w:r w:rsidRPr="00CE71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зазначити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дані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чинної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ліцензії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документа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дозвільного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характеру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провадження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виду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господарської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діяльності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отримання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дозволу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ліцензії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провадження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такого виду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діяльності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передбачено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законом.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Замість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довідки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довільної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може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надати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чинну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ліцензію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документ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дозвільного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характеру </w:t>
            </w:r>
          </w:p>
        </w:tc>
      </w:tr>
      <w:tr w:rsidR="00660B68" w:rsidRPr="00CE719C" w:rsidTr="00B21606">
        <w:trPr>
          <w:trHeight w:val="80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ind w:left="140" w:right="120" w:hanging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Довідка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довільній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яка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містить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інформацію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засновника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кінцевого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бенефіціарного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власника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зокрема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назва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юридичної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особи,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засновником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її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місцезнаходження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країна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реєстрації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ізвище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ім’я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батькові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засновника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кінцевого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бенефіціарного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власника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адреса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його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місця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проживання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громадянство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660B68" w:rsidRPr="00CE719C" w:rsidRDefault="00660B68" w:rsidP="00B21606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Зазначена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довідка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надається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лише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учасниками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юридичними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особами та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лише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період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коли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Єдиний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державний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реє</w:t>
            </w:r>
            <w:proofErr w:type="gram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юридичних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фізичних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підприємців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громадських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формувань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функціонує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Інформація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кінцевого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бенефіціарного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власника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зазначається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довідці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лише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учасниками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юридичними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особами,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повинні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мати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таку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інформацію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Єдиному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державному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реє</w:t>
            </w:r>
            <w:proofErr w:type="gram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стр</w:t>
            </w:r>
            <w:proofErr w:type="gram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юридичних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фізичних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підприємців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громадських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формувань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відповідно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 пункту 9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частини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2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статті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9 Закону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державну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реєстрацію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юридичних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фізичних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осіб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підприємців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громадських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формувань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660B68" w:rsidRPr="00CE719C" w:rsidTr="00B21606">
        <w:trPr>
          <w:trHeight w:val="80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before="120"/>
              <w:ind w:left="-100" w:firstLine="42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разі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якщо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–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державної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форми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власності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особою/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створеною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та/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зареєстрованою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відповідно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до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законодавства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, та/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юридичною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кінцевим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бенефіціарним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власником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якої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резидент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резиденти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 (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фізичною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особою 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–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підприємцем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) 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–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резидентом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суб’єктом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господарювання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здійснює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продаж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походженням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(за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винятком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робіт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послуг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необхідних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для ремонту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обслуговування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товарів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придбаних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до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набрання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чинності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постановою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Кабінету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Міні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стр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від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12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жовтня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2022 р. № 1178 “Про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затвердження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особливостей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здійснення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публічних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закупівель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товарів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робіт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послуг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для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замовників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передбачених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Законом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“Про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публічні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”,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період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дії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правового режиму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воєнного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стану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Україні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протягом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90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днів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дня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його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припинення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або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скасування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lang w:eastAsia="en-US"/>
              </w:rPr>
              <w:t>”)</w:t>
            </w:r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він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повинен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надати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: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Документ,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ідтверджує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проживання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громадянина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процедури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чи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кінцевим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бенефіціарним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власником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юридичної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особи,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території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законних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підставах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Таким документом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посвідка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тимчасове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чи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постійне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місце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проживання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території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видана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відповідно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Закону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Єдиний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державний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демографічний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реє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підтверджують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громадянство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посвідчують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чи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її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спеціальний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статус». </w:t>
            </w:r>
          </w:p>
          <w:p w:rsidR="00660B68" w:rsidRPr="00CE719C" w:rsidRDefault="00660B68" w:rsidP="00B21606">
            <w:pPr>
              <w:spacing w:before="120"/>
              <w:ind w:left="-100" w:firstLine="425"/>
              <w:jc w:val="both"/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</w:pP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Такий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документ </w:t>
            </w:r>
            <w:proofErr w:type="spellStart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надається</w:t>
            </w:r>
            <w:proofErr w:type="spellEnd"/>
            <w:r w:rsidRPr="00CE71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:</w:t>
            </w:r>
          </w:p>
          <w:p w:rsidR="00660B68" w:rsidRPr="00CE719C" w:rsidRDefault="00660B68" w:rsidP="00B21606">
            <w:pPr>
              <w:ind w:left="-100" w:right="120" w:firstLine="42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E719C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фізичною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особою,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громадянином</w:t>
            </w:r>
            <w:proofErr w:type="spellEnd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60B68" w:rsidRPr="00CE719C" w:rsidRDefault="00660B68" w:rsidP="00B21606">
            <w:pPr>
              <w:spacing w:line="240" w:lineRule="auto"/>
              <w:ind w:left="-100" w:right="120" w:firstLine="42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юридичною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особою,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кінцевим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бенефіціарним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власником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громадянин</w:t>
            </w:r>
            <w:proofErr w:type="spellEnd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660B68" w:rsidRPr="00CE719C" w:rsidTr="00B21606">
        <w:trPr>
          <w:trHeight w:val="11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ind w:left="140" w:right="120" w:hanging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Гарантійний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лист,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складений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довільній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гарантує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товар,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який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є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предметом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запропонований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учасником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складі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не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був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/буде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ввезений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митну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територію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митному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режимі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імпорту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товарів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осійської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Федерації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/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Республіки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8"/>
                <w:shd w:val="solid" w:color="FFFFFF" w:fill="FFFFFF"/>
                <w:lang w:eastAsia="en-US"/>
              </w:rPr>
              <w:t>Білорусь</w:t>
            </w:r>
            <w:proofErr w:type="spellEnd"/>
          </w:p>
        </w:tc>
      </w:tr>
      <w:tr w:rsidR="00660B68" w:rsidRPr="00CE719C" w:rsidTr="00B21606">
        <w:trPr>
          <w:trHeight w:val="65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ind w:left="140" w:right="120" w:hanging="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Довідка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містить</w:t>
            </w:r>
            <w:proofErr w:type="spellEnd"/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інформацію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країну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місце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походження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запропонованого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товару</w:t>
            </w:r>
          </w:p>
        </w:tc>
      </w:tr>
      <w:tr w:rsidR="00660B68" w:rsidRPr="00CE719C" w:rsidTr="00B21606">
        <w:trPr>
          <w:trHeight w:val="65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ind w:left="140" w:right="120" w:hanging="2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Довідка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довільній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ідтверджує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відповідність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технічним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якісним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кількісним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іншим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вимогам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по предмету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встановленим</w:t>
            </w:r>
            <w:proofErr w:type="spellEnd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замовником</w:t>
            </w:r>
            <w:proofErr w:type="spellEnd"/>
          </w:p>
        </w:tc>
      </w:tr>
      <w:tr w:rsidR="00660B68" w:rsidRPr="00CE719C" w:rsidTr="00B21606">
        <w:trPr>
          <w:trHeight w:val="51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Лист-згода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обробку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поширення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 та доступ до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персональних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даних</w:t>
            </w:r>
            <w:proofErr w:type="spellEnd"/>
          </w:p>
        </w:tc>
      </w:tr>
      <w:tr w:rsidR="00660B68" w:rsidRPr="00CE719C" w:rsidTr="00B21606">
        <w:trPr>
          <w:trHeight w:val="35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Лист-згода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умовами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викладеними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проєкті</w:t>
            </w:r>
            <w:proofErr w:type="spellEnd"/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договору</w:t>
            </w:r>
          </w:p>
        </w:tc>
      </w:tr>
      <w:tr w:rsidR="00660B68" w:rsidRPr="00CE719C" w:rsidTr="00B21606">
        <w:trPr>
          <w:trHeight w:val="4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B68" w:rsidRPr="00CE719C" w:rsidRDefault="00660B68" w:rsidP="00B21606">
            <w:pPr>
              <w:spacing w:line="240" w:lineRule="auto"/>
              <w:ind w:left="1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719C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8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B68" w:rsidRPr="00CE719C" w:rsidRDefault="00660B68" w:rsidP="00B21606">
            <w:pPr>
              <w:spacing w:line="240" w:lineRule="auto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Довідка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про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погодження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усіма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умовами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/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вимогами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тендерної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документації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для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участі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в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процедурі</w:t>
            </w:r>
            <w:proofErr w:type="spell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закупі</w:t>
            </w:r>
            <w:proofErr w:type="gramStart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вл</w:t>
            </w:r>
            <w:proofErr w:type="gramEnd"/>
            <w:r w:rsidRPr="00CE719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і</w:t>
            </w:r>
            <w:proofErr w:type="spellEnd"/>
          </w:p>
        </w:tc>
      </w:tr>
    </w:tbl>
    <w:p w:rsidR="00660B68" w:rsidRPr="00CE719C" w:rsidRDefault="00660B68" w:rsidP="00660B68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0B68" w:rsidRPr="00CE719C" w:rsidRDefault="00660B68" w:rsidP="00660B68">
      <w:pPr>
        <w:shd w:val="clear" w:color="auto" w:fill="FFFFFF"/>
        <w:spacing w:before="2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0B68" w:rsidRDefault="00660B68" w:rsidP="00660B6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DD8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Учасник подає</w:t>
      </w:r>
      <w:r w:rsidRPr="00134D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по кожному лоту окремо! </w:t>
      </w:r>
    </w:p>
    <w:p w:rsidR="00660B68" w:rsidRPr="0005348F" w:rsidRDefault="00660B68" w:rsidP="00660B68">
      <w:pPr>
        <w:spacing w:before="24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60B68" w:rsidRPr="00CE719C" w:rsidRDefault="00660B68" w:rsidP="00660B68">
      <w:pPr>
        <w:spacing w:before="24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660B68" w:rsidRPr="00CE719C" w:rsidRDefault="00660B68" w:rsidP="00660B68">
      <w:pPr>
        <w:rPr>
          <w:color w:val="auto"/>
        </w:rPr>
      </w:pPr>
    </w:p>
    <w:p w:rsidR="00781C44" w:rsidRPr="00660B68" w:rsidRDefault="00781C44" w:rsidP="00660B68">
      <w:pPr>
        <w:widowControl w:val="0"/>
        <w:jc w:val="both"/>
      </w:pPr>
    </w:p>
    <w:sectPr w:rsidR="00781C44" w:rsidRPr="00660B68" w:rsidSect="00781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0554B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D2F7B8D"/>
    <w:multiLevelType w:val="multilevel"/>
    <w:tmpl w:val="AB3C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92E"/>
    <w:rsid w:val="000707B3"/>
    <w:rsid w:val="001849BC"/>
    <w:rsid w:val="001948D4"/>
    <w:rsid w:val="001A6166"/>
    <w:rsid w:val="001C5473"/>
    <w:rsid w:val="00243BB7"/>
    <w:rsid w:val="002749FB"/>
    <w:rsid w:val="00286F4F"/>
    <w:rsid w:val="002C194D"/>
    <w:rsid w:val="002F040B"/>
    <w:rsid w:val="00334294"/>
    <w:rsid w:val="003413DE"/>
    <w:rsid w:val="004D60E7"/>
    <w:rsid w:val="004F3508"/>
    <w:rsid w:val="0051781E"/>
    <w:rsid w:val="005316A1"/>
    <w:rsid w:val="005376DA"/>
    <w:rsid w:val="00611973"/>
    <w:rsid w:val="00612A4D"/>
    <w:rsid w:val="006339D1"/>
    <w:rsid w:val="0065613C"/>
    <w:rsid w:val="00660B68"/>
    <w:rsid w:val="006715D8"/>
    <w:rsid w:val="00781C44"/>
    <w:rsid w:val="0078292E"/>
    <w:rsid w:val="007A16CF"/>
    <w:rsid w:val="007A3CFC"/>
    <w:rsid w:val="007B33C4"/>
    <w:rsid w:val="00833571"/>
    <w:rsid w:val="00842AC5"/>
    <w:rsid w:val="00855E7F"/>
    <w:rsid w:val="008D5E59"/>
    <w:rsid w:val="008F7352"/>
    <w:rsid w:val="009358B3"/>
    <w:rsid w:val="0096734F"/>
    <w:rsid w:val="00AF3764"/>
    <w:rsid w:val="00B06412"/>
    <w:rsid w:val="00B266E2"/>
    <w:rsid w:val="00BD55B2"/>
    <w:rsid w:val="00BE7E78"/>
    <w:rsid w:val="00C87B82"/>
    <w:rsid w:val="00CC5C27"/>
    <w:rsid w:val="00D62661"/>
    <w:rsid w:val="00D94A26"/>
    <w:rsid w:val="00DC0A11"/>
    <w:rsid w:val="00E973D8"/>
    <w:rsid w:val="00EB51FE"/>
    <w:rsid w:val="00F2410B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78292E"/>
  </w:style>
  <w:style w:type="paragraph" w:styleId="3">
    <w:name w:val="Body Text 3"/>
    <w:basedOn w:val="a"/>
    <w:link w:val="30"/>
    <w:uiPriority w:val="99"/>
    <w:rsid w:val="007829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78292E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styleId="a5">
    <w:name w:val="Hyperlink"/>
    <w:uiPriority w:val="99"/>
    <w:rsid w:val="00660B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1D82-14B9-427C-9C47-E37BA86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5</cp:revision>
  <dcterms:created xsi:type="dcterms:W3CDTF">2023-07-10T12:51:00Z</dcterms:created>
  <dcterms:modified xsi:type="dcterms:W3CDTF">2023-07-21T06:15:00Z</dcterms:modified>
</cp:coreProperties>
</file>