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31" w:rsidRPr="00D37FD3" w:rsidRDefault="00016931" w:rsidP="00016931">
      <w:pPr>
        <w:ind w:left="5660" w:firstLine="700"/>
        <w:jc w:val="right"/>
        <w:rPr>
          <w:lang w:val="ru-RU"/>
        </w:rPr>
      </w:pPr>
      <w:r w:rsidRPr="00016931">
        <w:rPr>
          <w:b/>
          <w:color w:val="000000"/>
          <w:lang w:val="ru-RU"/>
        </w:rPr>
        <w:t xml:space="preserve">ДОДАТОК </w:t>
      </w:r>
      <w:r w:rsidR="00D37FD3">
        <w:rPr>
          <w:b/>
          <w:color w:val="000000"/>
          <w:lang w:val="ru-RU"/>
        </w:rPr>
        <w:t>3</w:t>
      </w:r>
    </w:p>
    <w:p w:rsidR="00016931" w:rsidRDefault="00016931" w:rsidP="00016931">
      <w:pPr>
        <w:ind w:left="5660" w:firstLine="700"/>
        <w:jc w:val="right"/>
        <w:rPr>
          <w:i/>
          <w:color w:val="000000"/>
          <w:lang w:val="ru-RU"/>
        </w:rPr>
      </w:pPr>
      <w:r w:rsidRPr="00016931">
        <w:rPr>
          <w:i/>
          <w:color w:val="000000"/>
        </w:rPr>
        <w:t>д</w:t>
      </w:r>
      <w:r w:rsidRPr="00016931">
        <w:rPr>
          <w:i/>
          <w:color w:val="000000"/>
          <w:lang w:val="ru-RU"/>
        </w:rPr>
        <w:t>о</w:t>
      </w:r>
      <w:r w:rsidRPr="00016931">
        <w:rPr>
          <w:i/>
          <w:color w:val="000000"/>
        </w:rPr>
        <w:t xml:space="preserve"> Т</w:t>
      </w:r>
      <w:proofErr w:type="spellStart"/>
      <w:r w:rsidRPr="00016931">
        <w:rPr>
          <w:i/>
          <w:color w:val="000000"/>
          <w:lang w:val="ru-RU"/>
        </w:rPr>
        <w:t>ендерної</w:t>
      </w:r>
      <w:proofErr w:type="spellEnd"/>
      <w:r w:rsidRPr="00016931">
        <w:rPr>
          <w:i/>
          <w:color w:val="000000"/>
          <w:lang w:val="ru-RU"/>
        </w:rPr>
        <w:t xml:space="preserve"> </w:t>
      </w:r>
      <w:proofErr w:type="spellStart"/>
      <w:r w:rsidRPr="00016931">
        <w:rPr>
          <w:i/>
          <w:color w:val="000000"/>
          <w:lang w:val="ru-RU"/>
        </w:rPr>
        <w:t>документації</w:t>
      </w:r>
      <w:proofErr w:type="spellEnd"/>
    </w:p>
    <w:p w:rsidR="00016931" w:rsidRPr="007563AE" w:rsidRDefault="00856EF1" w:rsidP="00016931">
      <w:pPr>
        <w:tabs>
          <w:tab w:val="left" w:pos="0"/>
          <w:tab w:val="center" w:pos="9781"/>
        </w:tabs>
        <w:spacing w:line="360" w:lineRule="auto"/>
        <w:ind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«ТЕХНІЧНА СПЕЦИФІКАЦІЯ»</w:t>
      </w:r>
    </w:p>
    <w:p w:rsidR="004505F3" w:rsidRDefault="004505F3" w:rsidP="004505F3">
      <w:pPr>
        <w:pStyle w:val="a3"/>
        <w:ind w:firstLine="426"/>
        <w:jc w:val="center"/>
        <w:rPr>
          <w:rFonts w:eastAsia="Calibri"/>
          <w:b/>
          <w:i/>
          <w:iCs/>
          <w:color w:val="000000"/>
          <w:lang w:eastAsia="en-US"/>
        </w:rPr>
      </w:pPr>
      <w:r w:rsidRPr="004505F3">
        <w:rPr>
          <w:rFonts w:eastAsia="Calibri"/>
          <w:b/>
          <w:i/>
          <w:iCs/>
          <w:color w:val="000000"/>
          <w:lang w:eastAsia="en-US"/>
        </w:rPr>
        <w:t>«Олія соняшникова рафінована »</w:t>
      </w:r>
    </w:p>
    <w:p w:rsidR="00016931" w:rsidRDefault="004505F3" w:rsidP="004505F3">
      <w:pPr>
        <w:pStyle w:val="a3"/>
        <w:ind w:firstLine="426"/>
        <w:jc w:val="center"/>
        <w:rPr>
          <w:sz w:val="22"/>
          <w:szCs w:val="22"/>
        </w:rPr>
      </w:pPr>
      <w:r w:rsidRPr="004505F3">
        <w:rPr>
          <w:rFonts w:eastAsia="Calibri"/>
          <w:b/>
          <w:i/>
          <w:iCs/>
          <w:color w:val="000000"/>
          <w:lang w:eastAsia="en-US"/>
        </w:rPr>
        <w:t>(код ДК 021-2015 (CPV) 15420000-8Рафіновані олії та жири)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850"/>
        <w:gridCol w:w="6901"/>
        <w:gridCol w:w="45"/>
      </w:tblGrid>
      <w:tr w:rsidR="00771479" w:rsidRPr="00771479" w:rsidTr="00424BE3">
        <w:trPr>
          <w:gridAfter w:val="1"/>
          <w:wAfter w:w="45" w:type="dxa"/>
          <w:trHeight w:val="232"/>
        </w:trPr>
        <w:tc>
          <w:tcPr>
            <w:tcW w:w="1701" w:type="dxa"/>
          </w:tcPr>
          <w:p w:rsidR="00771479" w:rsidRPr="00771479" w:rsidRDefault="00771479" w:rsidP="00771479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771479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Найменування товару</w:t>
            </w:r>
          </w:p>
        </w:tc>
        <w:tc>
          <w:tcPr>
            <w:tcW w:w="1134" w:type="dxa"/>
          </w:tcPr>
          <w:p w:rsidR="00771479" w:rsidRPr="00771479" w:rsidRDefault="00771479" w:rsidP="007714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Одиниця виміру</w:t>
            </w:r>
          </w:p>
        </w:tc>
        <w:tc>
          <w:tcPr>
            <w:tcW w:w="850" w:type="dxa"/>
          </w:tcPr>
          <w:p w:rsidR="00771479" w:rsidRPr="00771479" w:rsidRDefault="00771479" w:rsidP="005D716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771479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 xml:space="preserve">кількість  </w:t>
            </w:r>
          </w:p>
        </w:tc>
        <w:tc>
          <w:tcPr>
            <w:tcW w:w="6901" w:type="dxa"/>
          </w:tcPr>
          <w:p w:rsidR="00771479" w:rsidRPr="00771479" w:rsidRDefault="00771479" w:rsidP="00771479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771479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Вимоги до предмету закупівлі</w:t>
            </w:r>
          </w:p>
        </w:tc>
      </w:tr>
      <w:tr w:rsidR="00771479" w:rsidRPr="00771479" w:rsidTr="00424BE3">
        <w:trPr>
          <w:gridAfter w:val="1"/>
          <w:wAfter w:w="45" w:type="dxa"/>
          <w:trHeight w:val="578"/>
        </w:trPr>
        <w:tc>
          <w:tcPr>
            <w:tcW w:w="1701" w:type="dxa"/>
            <w:vAlign w:val="center"/>
          </w:tcPr>
          <w:p w:rsidR="00771479" w:rsidRPr="00771479" w:rsidRDefault="00E536B8" w:rsidP="005D7162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Олія соняшникова рафінована</w:t>
            </w:r>
          </w:p>
        </w:tc>
        <w:tc>
          <w:tcPr>
            <w:tcW w:w="1134" w:type="dxa"/>
            <w:vAlign w:val="center"/>
          </w:tcPr>
          <w:p w:rsidR="00771479" w:rsidRDefault="00424BE3" w:rsidP="005D7162">
            <w:pPr>
              <w:ind w:left="-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850" w:type="dxa"/>
            <w:vAlign w:val="center"/>
          </w:tcPr>
          <w:p w:rsidR="00771479" w:rsidRPr="00771479" w:rsidRDefault="00424BE3" w:rsidP="005D7162">
            <w:pPr>
              <w:ind w:left="-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5200</w:t>
            </w:r>
          </w:p>
        </w:tc>
        <w:tc>
          <w:tcPr>
            <w:tcW w:w="6901" w:type="dxa"/>
            <w:vAlign w:val="center"/>
          </w:tcPr>
          <w:p w:rsidR="004C4CC8" w:rsidRPr="00AD122B" w:rsidRDefault="00D93352" w:rsidP="00D93352">
            <w:pPr>
              <w:ind w:left="-8"/>
              <w:jc w:val="both"/>
              <w:rPr>
                <w:b/>
                <w:color w:val="000000"/>
                <w:sz w:val="22"/>
                <w:szCs w:val="22"/>
              </w:rPr>
            </w:pPr>
            <w:r w:rsidRPr="00AD122B">
              <w:rPr>
                <w:b/>
                <w:color w:val="000000"/>
                <w:sz w:val="22"/>
                <w:szCs w:val="22"/>
              </w:rPr>
              <w:t>Олія соняшникова рафінована</w:t>
            </w:r>
            <w:r w:rsidR="004C4CC8" w:rsidRPr="00AD122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93352" w:rsidRPr="00D93352" w:rsidRDefault="004C4CC8" w:rsidP="00D93352">
            <w:pPr>
              <w:ind w:left="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дезодорована виморожена/невиморожена, марки – «П» або «Д»,</w:t>
            </w:r>
            <w:r w:rsidR="00D93352" w:rsidRPr="00D93352">
              <w:rPr>
                <w:color w:val="000000"/>
                <w:sz w:val="22"/>
                <w:szCs w:val="22"/>
              </w:rPr>
              <w:t xml:space="preserve"> повинна відповідати вимогам ДСТУ 4492:2005 «Олія соняшникова. Технічні умови» або ТУ та бути виготовлена згідно з технологічним регламентом або технологічними інструкціями, затвердженими в установленому порядку. </w:t>
            </w:r>
          </w:p>
          <w:p w:rsidR="00D93352" w:rsidRPr="00D93352" w:rsidRDefault="00D93352" w:rsidP="00D93352">
            <w:pPr>
              <w:ind w:left="-8"/>
              <w:jc w:val="both"/>
              <w:rPr>
                <w:color w:val="000000"/>
                <w:sz w:val="22"/>
                <w:szCs w:val="22"/>
              </w:rPr>
            </w:pPr>
            <w:r w:rsidRPr="00424BE3">
              <w:rPr>
                <w:b/>
                <w:color w:val="000000"/>
                <w:sz w:val="22"/>
                <w:szCs w:val="22"/>
              </w:rPr>
              <w:t xml:space="preserve">Колір. </w:t>
            </w:r>
            <w:r w:rsidRPr="00D93352">
              <w:rPr>
                <w:color w:val="000000"/>
                <w:sz w:val="22"/>
                <w:szCs w:val="22"/>
              </w:rPr>
              <w:t>Прозора без осаду.</w:t>
            </w:r>
          </w:p>
          <w:p w:rsidR="00424BE3" w:rsidRDefault="00D93352" w:rsidP="00D93352">
            <w:pPr>
              <w:ind w:left="-8"/>
              <w:jc w:val="both"/>
              <w:rPr>
                <w:color w:val="000000"/>
                <w:sz w:val="22"/>
                <w:szCs w:val="22"/>
              </w:rPr>
            </w:pPr>
            <w:r w:rsidRPr="00424BE3">
              <w:rPr>
                <w:b/>
                <w:color w:val="000000"/>
                <w:sz w:val="22"/>
                <w:szCs w:val="22"/>
              </w:rPr>
              <w:t>Смак і запах.</w:t>
            </w:r>
            <w:r w:rsidRPr="00D93352">
              <w:rPr>
                <w:color w:val="000000"/>
                <w:sz w:val="22"/>
                <w:szCs w:val="22"/>
              </w:rPr>
              <w:t xml:space="preserve"> Притаманна олії соняшниковій рафінованій без стороннього присмаку, гіркоти та запаху. </w:t>
            </w:r>
          </w:p>
          <w:p w:rsidR="00D93352" w:rsidRPr="00D93352" w:rsidRDefault="00D93352" w:rsidP="00D93352">
            <w:pPr>
              <w:ind w:left="-8"/>
              <w:jc w:val="both"/>
              <w:rPr>
                <w:color w:val="000000"/>
                <w:sz w:val="22"/>
                <w:szCs w:val="22"/>
              </w:rPr>
            </w:pPr>
            <w:r w:rsidRPr="00D93352">
              <w:rPr>
                <w:color w:val="000000"/>
                <w:sz w:val="22"/>
                <w:szCs w:val="22"/>
              </w:rPr>
              <w:t>Товар поставляється в споживчій (транспортній) тарі, що в</w:t>
            </w:r>
            <w:r w:rsidR="004C4CC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3352">
              <w:rPr>
                <w:color w:val="000000"/>
                <w:sz w:val="22"/>
                <w:szCs w:val="22"/>
              </w:rPr>
              <w:t>ідповідає</w:t>
            </w:r>
            <w:proofErr w:type="spellEnd"/>
            <w:r w:rsidRPr="00D93352">
              <w:rPr>
                <w:color w:val="000000"/>
                <w:sz w:val="22"/>
                <w:szCs w:val="22"/>
              </w:rPr>
              <w:t xml:space="preserve"> вимогам чинного законодавства та забезпечує цілісність товару, його товарний вигляд, а також якість та безпеку під час транспортування і зберігання.</w:t>
            </w:r>
          </w:p>
          <w:p w:rsidR="00424BE3" w:rsidRDefault="00D93352" w:rsidP="00D93352">
            <w:pPr>
              <w:ind w:left="-8"/>
              <w:jc w:val="both"/>
              <w:rPr>
                <w:color w:val="000000"/>
                <w:sz w:val="22"/>
                <w:szCs w:val="22"/>
              </w:rPr>
            </w:pPr>
            <w:r w:rsidRPr="00D93352">
              <w:rPr>
                <w:color w:val="000000"/>
                <w:sz w:val="22"/>
                <w:szCs w:val="22"/>
              </w:rPr>
              <w:t>Бажана форма фасування: пляшки з полімерних матеріалів номінальним об’ємом не менше 1,0 л. (920 г).</w:t>
            </w:r>
            <w:r w:rsidR="00424BE3">
              <w:rPr>
                <w:color w:val="000000"/>
                <w:sz w:val="22"/>
                <w:szCs w:val="22"/>
              </w:rPr>
              <w:t xml:space="preserve"> </w:t>
            </w:r>
          </w:p>
          <w:p w:rsidR="00D93352" w:rsidRPr="00771479" w:rsidRDefault="00424BE3" w:rsidP="00424BE3">
            <w:pPr>
              <w:ind w:left="-8"/>
              <w:jc w:val="both"/>
              <w:rPr>
                <w:color w:val="000000"/>
                <w:sz w:val="22"/>
                <w:szCs w:val="22"/>
              </w:rPr>
            </w:pPr>
            <w:r w:rsidRPr="00424BE3">
              <w:rPr>
                <w:color w:val="000000"/>
                <w:sz w:val="22"/>
                <w:szCs w:val="22"/>
              </w:rPr>
              <w:t>На упаковці повинен бути ярлик із зазначенням виробника, терміну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4BE3">
              <w:rPr>
                <w:color w:val="000000"/>
                <w:sz w:val="22"/>
                <w:szCs w:val="22"/>
              </w:rPr>
              <w:t>виготовлення і придатності.</w:t>
            </w:r>
          </w:p>
        </w:tc>
      </w:tr>
      <w:tr w:rsidR="00016931" w:rsidRPr="007563AE" w:rsidTr="00424BE3">
        <w:trPr>
          <w:trHeight w:val="578"/>
        </w:trPr>
        <w:tc>
          <w:tcPr>
            <w:tcW w:w="10631" w:type="dxa"/>
            <w:gridSpan w:val="5"/>
            <w:vAlign w:val="center"/>
          </w:tcPr>
          <w:p w:rsidR="00354D37" w:rsidRDefault="00016931" w:rsidP="00424BE3">
            <w:pPr>
              <w:shd w:val="clear" w:color="auto" w:fill="FFFFFF"/>
              <w:spacing w:line="0" w:lineRule="atLeast"/>
              <w:ind w:right="-25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4D37">
              <w:rPr>
                <w:b/>
                <w:color w:val="000000"/>
                <w:sz w:val="22"/>
                <w:szCs w:val="22"/>
                <w:shd w:val="clear" w:color="auto" w:fill="FFFFFF"/>
              </w:rPr>
              <w:t>Маркування та транспортування: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транспортне маркування здійснюється відповідно до діючого стандарту із зазначенням назви продукту та повної адреси і телефону виробника, адреса </w:t>
            </w:r>
            <w:proofErr w:type="spellStart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потужностей</w:t>
            </w:r>
            <w:proofErr w:type="spellEnd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виробництва; маси </w:t>
            </w:r>
            <w:proofErr w:type="spellStart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нетто</w:t>
            </w:r>
            <w:proofErr w:type="spellEnd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, брутто або кг; кінцевої дати споживання «Вжити до» або дати виробництва та строку придатності; номер партії; позначення цього стандарту.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Кожна транспортна партія товару повинна супроводжуватись товарно-транспортною накладною, посвідченням про якість/декларація виробника, в якому зазначається: №; дата видачі; найменування потужності виробника та його № експлуатаційного дозволу чи № реєстрації; найменування постачальника; його адреса та № експлуатаційного дозволу чи № реєстрації;</w:t>
            </w:r>
            <w:r w:rsidR="00DC647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найменування продукту; одиниці виміру; кількість; дата виробництва; дата випуску; умови зберігання; термін зберігання; згідно якого нормативного документа продукт виготовлений (ДСТУ, ТУ та ін.).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Товар повинен відповідати показникам безпечності та якості для харчових продуктів, які встановлено нормативно правовими актами України, ТУ та ДСТУ (Наказ МОН України та МОЗ України від 17.04.2006 року № 298/227 «Про затвердження інструкції з організації харчування дітей у дошкільних закладах», Наказ МОН України та МОЗ України від 15.08.2006 року № 620/563 «Щодо невідкладних заходів з організації харчування дітей у дошкільних, загальноосвітніх, позашкільних навчальних закладах», Закон України «Про основні принципи та вимоги до безпечності та якості харчових продуктів» від 23.12.1997 року № 771/97-ВР (зі змінами)).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Залишок терміну зберігання на момент поставки продуктів повинен бути не менше </w:t>
            </w:r>
            <w:r w:rsidR="00424BE3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354D37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% від терміну зберігання, який встановлений підприємством-виробником.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Постачання товару здійснюється до 31.12. 202</w:t>
            </w:r>
            <w:r w:rsidR="00B34D0F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року відповідно до заявки Замовника, один раз на </w:t>
            </w:r>
            <w:r w:rsidR="00771479">
              <w:rPr>
                <w:color w:val="000000"/>
                <w:sz w:val="22"/>
                <w:szCs w:val="22"/>
                <w:shd w:val="clear" w:color="auto" w:fill="FFFFFF"/>
              </w:rPr>
              <w:t>два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тиж</w:t>
            </w:r>
            <w:r w:rsidR="005722F7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="00771479">
              <w:rPr>
                <w:color w:val="000000"/>
                <w:sz w:val="22"/>
                <w:szCs w:val="22"/>
                <w:shd w:val="clear" w:color="auto" w:fill="FFFFFF"/>
              </w:rPr>
              <w:t>і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 (понеділок</w:t>
            </w:r>
            <w:r w:rsidR="00185FF6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bookmarkStart w:id="0" w:name="_GoBack"/>
            <w:bookmarkEnd w:id="0"/>
            <w:r w:rsidR="00185FF6"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) з 08:00 до 15:00 години.</w:t>
            </w:r>
          </w:p>
          <w:p w:rsidR="00016931" w:rsidRDefault="00016931" w:rsidP="00B34D0F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Строк поставки товару – до 31.12.202</w:t>
            </w:r>
            <w:r w:rsidR="00B34D0F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року .</w:t>
            </w:r>
          </w:p>
          <w:p w:rsidR="00354D37" w:rsidRDefault="00354D37" w:rsidP="00354D37">
            <w:pPr>
              <w:pStyle w:val="1"/>
              <w:spacing w:before="0" w:beforeAutospacing="0" w:after="0" w:afterAutospacing="0"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Прийманню не підлягає товар: 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маркування;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пошкодженій упаковці;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який оформлені супроводжувальні документи з порушенням; 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без документів, що засвідчують якість;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якщо залишковий термін придатності товару є меншим ніж  </w:t>
            </w:r>
            <w:r w:rsidR="00424B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0 %  від загального терміну придатності товару;</w:t>
            </w:r>
          </w:p>
          <w:p w:rsidR="00354D37" w:rsidRPr="007563AE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ісля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закінчення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терміну придатності до споживання.</w:t>
            </w:r>
          </w:p>
        </w:tc>
      </w:tr>
    </w:tbl>
    <w:p w:rsidR="001A4676" w:rsidRPr="00BD5E45" w:rsidRDefault="001A4676" w:rsidP="001A4676">
      <w:pPr>
        <w:tabs>
          <w:tab w:val="center" w:pos="4819"/>
        </w:tabs>
        <w:jc w:val="both"/>
        <w:outlineLvl w:val="0"/>
        <w:rPr>
          <w:rFonts w:eastAsia="Calibri"/>
          <w:b/>
          <w:sz w:val="22"/>
          <w:szCs w:val="22"/>
          <w:lang w:eastAsia="ru-RU"/>
        </w:rPr>
      </w:pPr>
      <w:r w:rsidRPr="00BD5E45">
        <w:rPr>
          <w:rFonts w:eastAsia="Calibri"/>
          <w:b/>
          <w:sz w:val="22"/>
          <w:szCs w:val="22"/>
          <w:lang w:eastAsia="ru-RU"/>
        </w:rPr>
        <w:t>!!! На підтвердження якості та безпечності запропонованої продукції Учасник у складі тендерної пропозиції має надати наступні документи:</w:t>
      </w:r>
    </w:p>
    <w:p w:rsidR="001A4676" w:rsidRDefault="001A4676" w:rsidP="00564BBE">
      <w:pPr>
        <w:widowControl w:val="0"/>
        <w:numPr>
          <w:ilvl w:val="0"/>
          <w:numId w:val="7"/>
        </w:numPr>
        <w:tabs>
          <w:tab w:val="left" w:pos="425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ar-SA"/>
        </w:rPr>
      </w:pPr>
      <w:r w:rsidRPr="002C1A6F">
        <w:rPr>
          <w:rFonts w:eastAsia="Calibri"/>
          <w:sz w:val="22"/>
          <w:szCs w:val="22"/>
          <w:lang w:eastAsia="ru-RU"/>
        </w:rPr>
        <w:t>Копію посвідчення про якість,  та/або декларація виробника, та/або сертифікат відповідності на товар, що є предметом закупівлі</w:t>
      </w:r>
      <w:r w:rsidR="00A677AE">
        <w:rPr>
          <w:rFonts w:eastAsia="Calibri"/>
          <w:sz w:val="22"/>
          <w:szCs w:val="22"/>
          <w:lang w:eastAsia="ru-RU"/>
        </w:rPr>
        <w:t>.</w:t>
      </w:r>
      <w:r w:rsidRPr="002C1A6F">
        <w:rPr>
          <w:rFonts w:eastAsia="Calibri"/>
          <w:sz w:val="22"/>
          <w:szCs w:val="22"/>
          <w:lang w:eastAsia="ru-RU"/>
        </w:rPr>
        <w:t xml:space="preserve"> </w:t>
      </w:r>
    </w:p>
    <w:p w:rsidR="00354D37" w:rsidRDefault="00354D37" w:rsidP="00354D37">
      <w:pPr>
        <w:widowControl w:val="0"/>
        <w:numPr>
          <w:ilvl w:val="0"/>
          <w:numId w:val="7"/>
        </w:numPr>
        <w:tabs>
          <w:tab w:val="left" w:pos="425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ar-SA"/>
        </w:rPr>
      </w:pPr>
      <w:r w:rsidRPr="00BD3F40">
        <w:rPr>
          <w:rFonts w:eastAsia="Calibri"/>
          <w:sz w:val="22"/>
          <w:szCs w:val="22"/>
          <w:lang w:eastAsia="ar-SA"/>
        </w:rPr>
        <w:t xml:space="preserve">Відбір товару на лабораторні дослідження проводиться на першу вимогу Замовника та за рахунок </w:t>
      </w:r>
      <w:r>
        <w:rPr>
          <w:rFonts w:eastAsia="Calibri"/>
          <w:sz w:val="22"/>
          <w:szCs w:val="22"/>
          <w:lang w:eastAsia="ar-SA"/>
        </w:rPr>
        <w:t>П</w:t>
      </w:r>
      <w:r w:rsidRPr="00BD3F40">
        <w:rPr>
          <w:rFonts w:eastAsia="Calibri"/>
          <w:sz w:val="22"/>
          <w:szCs w:val="22"/>
          <w:lang w:eastAsia="ar-SA"/>
        </w:rPr>
        <w:t>остачальника (надати гарантійний лист)</w:t>
      </w:r>
      <w:r w:rsidR="00A677AE">
        <w:rPr>
          <w:rFonts w:eastAsia="Calibri"/>
          <w:sz w:val="22"/>
          <w:szCs w:val="22"/>
          <w:lang w:eastAsia="ar-SA"/>
        </w:rPr>
        <w:t>. Також надати договір з лабораторією, що здійснює такі досліджен</w:t>
      </w:r>
      <w:r w:rsidR="0072040E">
        <w:rPr>
          <w:rFonts w:eastAsia="Calibri"/>
          <w:sz w:val="22"/>
          <w:szCs w:val="22"/>
          <w:lang w:eastAsia="ar-SA"/>
        </w:rPr>
        <w:t>ня, дійсний впродовж 2023 року та</w:t>
      </w:r>
      <w:r w:rsidR="00A677AE">
        <w:rPr>
          <w:rFonts w:eastAsia="Calibri"/>
          <w:sz w:val="22"/>
          <w:szCs w:val="22"/>
          <w:lang w:eastAsia="ar-SA"/>
        </w:rPr>
        <w:t xml:space="preserve"> копію акредитаційного документу такої лабораторії.</w:t>
      </w:r>
    </w:p>
    <w:p w:rsidR="001A4676" w:rsidRPr="00BD5E45" w:rsidRDefault="001A4676" w:rsidP="00354D37">
      <w:pPr>
        <w:widowControl w:val="0"/>
        <w:numPr>
          <w:ilvl w:val="0"/>
          <w:numId w:val="7"/>
        </w:numPr>
        <w:tabs>
          <w:tab w:val="left" w:pos="0"/>
          <w:tab w:val="left" w:pos="142"/>
        </w:tabs>
        <w:suppressAutoHyphens/>
        <w:ind w:right="-11" w:firstLine="284"/>
        <w:jc w:val="both"/>
        <w:rPr>
          <w:rFonts w:eastAsia="Calibri"/>
          <w:sz w:val="22"/>
          <w:szCs w:val="22"/>
          <w:lang w:eastAsia="ru-RU"/>
        </w:rPr>
      </w:pPr>
      <w:r w:rsidRPr="00BD5E45">
        <w:rPr>
          <w:rFonts w:eastAsia="Calibri"/>
          <w:sz w:val="22"/>
          <w:szCs w:val="22"/>
          <w:lang w:eastAsia="ru-RU"/>
        </w:rPr>
        <w:lastRenderedPageBreak/>
        <w:t xml:space="preserve">Кольорову 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скан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 - копію договору, який підтверджує відносини з виробником (дистриб’ютором, дилером, тощо) на продукцію, яка є предметом закупівлі (дилерська угода/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дистриб’юторский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 договір/ договір поставки, тощо) дійсний впродовж  202</w:t>
      </w:r>
      <w:r>
        <w:rPr>
          <w:rFonts w:eastAsia="Calibri"/>
          <w:sz w:val="22"/>
          <w:szCs w:val="22"/>
          <w:lang w:eastAsia="ru-RU"/>
        </w:rPr>
        <w:t>3</w:t>
      </w:r>
      <w:r w:rsidRPr="00BD5E45">
        <w:rPr>
          <w:rFonts w:eastAsia="Calibri"/>
          <w:sz w:val="22"/>
          <w:szCs w:val="22"/>
          <w:lang w:eastAsia="ru-RU"/>
        </w:rPr>
        <w:t xml:space="preserve"> року.</w:t>
      </w:r>
    </w:p>
    <w:p w:rsidR="001A4676" w:rsidRPr="00BD5E45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rFonts w:eastAsia="Calibri"/>
          <w:sz w:val="22"/>
          <w:szCs w:val="22"/>
        </w:rPr>
      </w:pPr>
      <w:r w:rsidRPr="00BD5E45">
        <w:rPr>
          <w:rFonts w:eastAsia="Calibri"/>
          <w:sz w:val="22"/>
          <w:szCs w:val="22"/>
          <w:lang w:eastAsia="ru-RU"/>
        </w:rPr>
        <w:t xml:space="preserve">Кольорову 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скан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-копію оригіналу експлуатаційного дозволу </w:t>
      </w:r>
      <w:r>
        <w:rPr>
          <w:rFonts w:eastAsia="Calibri"/>
          <w:sz w:val="22"/>
          <w:szCs w:val="22"/>
          <w:lang w:eastAsia="ru-RU"/>
        </w:rPr>
        <w:t>У</w:t>
      </w:r>
      <w:r w:rsidRPr="00BD5E45">
        <w:rPr>
          <w:rFonts w:eastAsia="Calibri"/>
          <w:sz w:val="22"/>
          <w:szCs w:val="22"/>
          <w:lang w:eastAsia="ru-RU"/>
        </w:rPr>
        <w:t>часника;</w:t>
      </w:r>
    </w:p>
    <w:p w:rsidR="001A4676" w:rsidRPr="00BD5E45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ru-RU"/>
        </w:rPr>
      </w:pPr>
      <w:r w:rsidRPr="00BD5E45">
        <w:rPr>
          <w:rFonts w:eastAsia="Calibri"/>
          <w:sz w:val="22"/>
          <w:szCs w:val="22"/>
          <w:lang w:eastAsia="ru-RU"/>
        </w:rPr>
        <w:t xml:space="preserve">Копію рішення (витяг, лист) компетентного органу про державну реєстрацію 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потужностей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 оператору ринку (споруди або комплексу споруд, приміщення, будівлі, обладнання та інших засобів, включаючи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реалізації та зберіганні харчових продуктів;</w:t>
      </w:r>
    </w:p>
    <w:p w:rsidR="001A4676" w:rsidRPr="00EC7346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sz w:val="22"/>
          <w:szCs w:val="22"/>
        </w:rPr>
      </w:pPr>
      <w:proofErr w:type="spellStart"/>
      <w:r w:rsidRPr="00EC7346">
        <w:rPr>
          <w:sz w:val="22"/>
          <w:szCs w:val="22"/>
        </w:rPr>
        <w:t>Скан</w:t>
      </w:r>
      <w:proofErr w:type="spellEnd"/>
      <w:r w:rsidRPr="00EC7346">
        <w:rPr>
          <w:sz w:val="22"/>
          <w:szCs w:val="22"/>
        </w:rPr>
        <w:t xml:space="preserve">-копію оригіналу акту </w:t>
      </w:r>
      <w:proofErr w:type="spellStart"/>
      <w:r w:rsidRPr="00EC7346">
        <w:rPr>
          <w:sz w:val="22"/>
          <w:szCs w:val="22"/>
        </w:rPr>
        <w:t>Держпродспоживслужби</w:t>
      </w:r>
      <w:proofErr w:type="spellEnd"/>
      <w:r w:rsidRPr="00EC7346">
        <w:rPr>
          <w:sz w:val="22"/>
          <w:szCs w:val="22"/>
        </w:rPr>
        <w:t>, складеного за результатами проведення заходу державного контролю у формі аудиту постійно діючих процедур, заснованих на принципах HACCP на підприємстві Учасника на кожне складське приміщення (зазначене в довідці про наявність обладнання та матеріально-технічної бази та яке буде задіяне під час виконання договору)  (згідно наказу міністерства  аграрної політики № 446 від 08.08.2019 р. Акт без виявлених порушень), датований не більше річної давнини відносно кінцевої дати подання пропозиції.</w:t>
      </w:r>
    </w:p>
    <w:p w:rsidR="001A4676" w:rsidRPr="00375237" w:rsidRDefault="001A4676" w:rsidP="00564BBE">
      <w:pPr>
        <w:widowControl w:val="0"/>
        <w:numPr>
          <w:ilvl w:val="0"/>
          <w:numId w:val="7"/>
        </w:numPr>
        <w:suppressAutoHyphens/>
        <w:ind w:right="-24" w:firstLine="284"/>
        <w:jc w:val="both"/>
        <w:rPr>
          <w:rFonts w:eastAsia="Calibri"/>
          <w:strike/>
          <w:sz w:val="22"/>
          <w:szCs w:val="22"/>
          <w:lang w:eastAsia="ru-RU"/>
        </w:rPr>
      </w:pPr>
      <w:proofErr w:type="spellStart"/>
      <w:r w:rsidRPr="00EC7346">
        <w:rPr>
          <w:sz w:val="22"/>
          <w:szCs w:val="22"/>
        </w:rPr>
        <w:t>Скан</w:t>
      </w:r>
      <w:proofErr w:type="spellEnd"/>
      <w:r w:rsidRPr="00EC7346">
        <w:rPr>
          <w:sz w:val="22"/>
          <w:szCs w:val="22"/>
        </w:rPr>
        <w:t xml:space="preserve">-копія оригіналу акту </w:t>
      </w:r>
      <w:proofErr w:type="spellStart"/>
      <w:r w:rsidRPr="00EC7346">
        <w:rPr>
          <w:sz w:val="22"/>
          <w:szCs w:val="22"/>
        </w:rPr>
        <w:t>Держпродспоживслужби</w:t>
      </w:r>
      <w:proofErr w:type="spellEnd"/>
      <w:r w:rsidRPr="00EC7346">
        <w:rPr>
          <w:sz w:val="22"/>
          <w:szCs w:val="22"/>
        </w:rPr>
        <w:t>, складений за результатами проведення планового (</w:t>
      </w:r>
      <w:r w:rsidRPr="00375237">
        <w:rPr>
          <w:sz w:val="22"/>
          <w:szCs w:val="22"/>
        </w:rPr>
        <w:t xml:space="preserve">позапланового) заходу державного контролю (інспектування) стосовно дотримання операторами ринку вимог законодавства про харчові продукти на підприємстві Учасника (згідно Наказу Міністерства економіки України  № 143-22 від 21.01.2022 року. Акт без виявлених порушень), датований не більше річної давнини відносно кінцевої дати подання пропозиції. </w:t>
      </w:r>
    </w:p>
    <w:p w:rsidR="001A4676" w:rsidRPr="00375237" w:rsidRDefault="001A4676" w:rsidP="00564BBE">
      <w:pPr>
        <w:pStyle w:val="a5"/>
        <w:numPr>
          <w:ilvl w:val="0"/>
          <w:numId w:val="7"/>
        </w:numPr>
        <w:ind w:left="0" w:firstLine="284"/>
        <w:jc w:val="both"/>
        <w:rPr>
          <w:sz w:val="22"/>
          <w:szCs w:val="22"/>
        </w:rPr>
      </w:pPr>
      <w:r w:rsidRPr="00375237">
        <w:rPr>
          <w:rFonts w:eastAsia="Calibri"/>
          <w:sz w:val="22"/>
          <w:szCs w:val="22"/>
          <w:lang w:eastAsia="ru-RU"/>
        </w:rPr>
        <w:t>Сертифікат ДСТУ ISO 14001:2015 на система екологічного управління,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 та звіт за результатами останнього аудиту. Сертифікат має бути виданий на ім’я Учасника.</w:t>
      </w:r>
      <w:r w:rsidRPr="00375237">
        <w:t xml:space="preserve"> </w:t>
      </w:r>
      <w:r w:rsidRPr="00375237">
        <w:rPr>
          <w:sz w:val="22"/>
          <w:szCs w:val="22"/>
        </w:rPr>
        <w:t>Надати атестат акредитації зі сферою акредитації органу оцінювання, який видав вказаний сертифікат.</w:t>
      </w:r>
    </w:p>
    <w:p w:rsidR="001A4676" w:rsidRPr="00375237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ar-SA"/>
        </w:rPr>
      </w:pPr>
      <w:r w:rsidRPr="00BD5E45">
        <w:rPr>
          <w:rFonts w:eastAsia="Calibri"/>
          <w:sz w:val="22"/>
          <w:szCs w:val="22"/>
          <w:lang w:eastAsia="ar-SA"/>
        </w:rPr>
        <w:t xml:space="preserve">Сертифікат ДСТУ ISO 22000: 2019 (ДСТУ ISO 22000: 2018) на систему управління якістю,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 </w:t>
      </w:r>
      <w:bookmarkStart w:id="1" w:name="_Hlk90028596"/>
      <w:r w:rsidRPr="00BD5E45">
        <w:rPr>
          <w:rFonts w:eastAsia="Calibri"/>
          <w:sz w:val="22"/>
          <w:szCs w:val="22"/>
          <w:lang w:eastAsia="ar-SA"/>
        </w:rPr>
        <w:t>та звіт за результатами останнього аудиту</w:t>
      </w:r>
      <w:bookmarkEnd w:id="1"/>
      <w:r w:rsidRPr="00BD5E45">
        <w:rPr>
          <w:rFonts w:eastAsia="Calibri"/>
          <w:sz w:val="22"/>
          <w:szCs w:val="22"/>
          <w:lang w:eastAsia="ar-SA"/>
        </w:rPr>
        <w:t xml:space="preserve">. </w:t>
      </w:r>
      <w:r w:rsidRPr="00BD5E45">
        <w:rPr>
          <w:rFonts w:eastAsia="Calibri"/>
          <w:sz w:val="22"/>
          <w:szCs w:val="22"/>
          <w:lang w:eastAsia="ru-RU"/>
        </w:rPr>
        <w:t>Сертифікат має бути виданий на ім’я Учасника.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375237">
        <w:rPr>
          <w:sz w:val="22"/>
          <w:szCs w:val="22"/>
        </w:rPr>
        <w:t>Надати атестат акредитації зі сферою акредитації органу оцінювання, який видав вказаний сертифікат.</w:t>
      </w:r>
    </w:p>
    <w:p w:rsidR="001A4676" w:rsidRPr="00375237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bCs/>
          <w:sz w:val="22"/>
          <w:szCs w:val="22"/>
          <w:lang w:eastAsia="ru-RU"/>
        </w:rPr>
      </w:pPr>
      <w:r w:rsidRPr="00BD5E45">
        <w:rPr>
          <w:rFonts w:eastAsia="Calibri"/>
          <w:bCs/>
          <w:sz w:val="22"/>
          <w:szCs w:val="22"/>
          <w:lang w:eastAsia="ru-RU"/>
        </w:rPr>
        <w:t xml:space="preserve">Сертифікат </w:t>
      </w:r>
      <w:r w:rsidRPr="00BD5E45">
        <w:rPr>
          <w:rFonts w:eastAsia="Calibri"/>
          <w:sz w:val="22"/>
          <w:szCs w:val="22"/>
          <w:lang w:eastAsia="ar-SA"/>
        </w:rPr>
        <w:t>ДСТУ</w:t>
      </w:r>
      <w:r w:rsidRPr="00BD5E45">
        <w:rPr>
          <w:rFonts w:eastAsia="Calibri"/>
          <w:bCs/>
          <w:sz w:val="22"/>
          <w:szCs w:val="22"/>
          <w:lang w:eastAsia="ru-RU"/>
        </w:rPr>
        <w:t xml:space="preserve"> ISO 9001:2018 (ISO 9001:2015)</w:t>
      </w:r>
      <w:r w:rsidRPr="00BD5E45">
        <w:rPr>
          <w:rFonts w:eastAsia="Calibri"/>
          <w:lang w:eastAsia="ru-RU"/>
        </w:rPr>
        <w:t xml:space="preserve"> </w:t>
      </w:r>
      <w:r w:rsidRPr="00BD5E45">
        <w:rPr>
          <w:rFonts w:eastAsia="Calibri"/>
          <w:bCs/>
          <w:sz w:val="22"/>
          <w:szCs w:val="22"/>
          <w:lang w:eastAsia="ru-RU"/>
        </w:rPr>
        <w:t xml:space="preserve">на систему управління якістю,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 та звіт за результатами останнього аудиту. </w:t>
      </w:r>
      <w:r w:rsidRPr="00BD5E45">
        <w:rPr>
          <w:rFonts w:eastAsia="Calibri"/>
          <w:sz w:val="22"/>
          <w:szCs w:val="22"/>
          <w:lang w:eastAsia="ru-RU"/>
        </w:rPr>
        <w:t>Сертифікат має бути виданий на ім’я Учасника.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375237">
        <w:rPr>
          <w:sz w:val="22"/>
          <w:szCs w:val="22"/>
        </w:rPr>
        <w:t>Надати атестат акредитації зі сферою акредитації органу оцінювання, який видав вказаний сертифікат.</w:t>
      </w:r>
    </w:p>
    <w:p w:rsidR="00564BBE" w:rsidRPr="00564BBE" w:rsidRDefault="00564BBE" w:rsidP="00564BBE">
      <w:pPr>
        <w:numPr>
          <w:ilvl w:val="0"/>
          <w:numId w:val="7"/>
        </w:numPr>
        <w:ind w:right="-24" w:firstLine="284"/>
        <w:jc w:val="both"/>
        <w:rPr>
          <w:rFonts w:eastAsia="Calibri"/>
          <w:sz w:val="22"/>
          <w:szCs w:val="22"/>
          <w:lang w:eastAsia="ru-RU"/>
        </w:rPr>
      </w:pPr>
      <w:r w:rsidRPr="00564BBE">
        <w:rPr>
          <w:rFonts w:eastAsia="Calibri"/>
          <w:sz w:val="22"/>
          <w:szCs w:val="22"/>
          <w:lang w:eastAsia="ru-RU"/>
        </w:rPr>
        <w:t xml:space="preserve">Надати </w:t>
      </w:r>
      <w:r w:rsidRPr="00564BBE">
        <w:rPr>
          <w:sz w:val="22"/>
        </w:rPr>
        <w:t>документ який підтверджує проходження випробувань щодо радіологічних вимірювань (іонізуючого випромінювання) транспортних засобів, які буде застосовано учасником для перевезення продуктів харчування виданий не раніше другого півріччя 2022 року</w:t>
      </w:r>
      <w:r w:rsidRPr="00564BBE">
        <w:rPr>
          <w:rFonts w:eastAsia="Calibri"/>
          <w:sz w:val="22"/>
          <w:szCs w:val="22"/>
          <w:lang w:eastAsia="ru-RU"/>
        </w:rPr>
        <w:t xml:space="preserve"> (у вказаних документах повинні бути зазначені авто, інформація про які надавалася в складі цієї документації). </w:t>
      </w:r>
    </w:p>
    <w:p w:rsidR="009C3267" w:rsidRPr="009C3267" w:rsidRDefault="009C3267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9C3267">
        <w:rPr>
          <w:sz w:val="22"/>
        </w:rPr>
        <w:t>Відповідно до Закону України «Про основні принципи та вимоги до безпечності та якості харчових продуктів» та Закону України «Про забезпечення санітарного та епідеміологічного благополуччя населення» учасник повинен надати в складі тендерної пропозиції експертний висновок</w:t>
      </w:r>
      <w:r w:rsidR="00424BE3">
        <w:rPr>
          <w:sz w:val="22"/>
        </w:rPr>
        <w:t>/протокол випробувань</w:t>
      </w:r>
      <w:r w:rsidRPr="009C3267">
        <w:rPr>
          <w:sz w:val="22"/>
        </w:rPr>
        <w:t>, що підтверджує здійснення процедури виявлення бактеріального забруднення середовища життєдіяльності людини методом змивів на наявність та/або відсутність бактерії групи кишкової палички (санітарно – мікробіологічне дослідження) з поверхні яка контактує з харчовими продуктами, зокрема: кузову(</w:t>
      </w:r>
      <w:proofErr w:type="spellStart"/>
      <w:r w:rsidRPr="009C3267">
        <w:rPr>
          <w:sz w:val="22"/>
        </w:rPr>
        <w:t>ів</w:t>
      </w:r>
      <w:proofErr w:type="spellEnd"/>
      <w:r w:rsidRPr="009C3267">
        <w:rPr>
          <w:sz w:val="22"/>
        </w:rPr>
        <w:t>) автотранспорту з середини; столу(</w:t>
      </w:r>
      <w:proofErr w:type="spellStart"/>
      <w:r w:rsidRPr="009C3267">
        <w:rPr>
          <w:sz w:val="22"/>
        </w:rPr>
        <w:t>ів</w:t>
      </w:r>
      <w:proofErr w:type="spellEnd"/>
      <w:r w:rsidRPr="009C3267">
        <w:rPr>
          <w:sz w:val="22"/>
        </w:rPr>
        <w:t xml:space="preserve">) для фасування та/або пакування; тари що застосовується для перевезення продуктів харчування. Вище вказаний експертний висновок </w:t>
      </w:r>
      <w:r w:rsidR="00424BE3">
        <w:rPr>
          <w:sz w:val="22"/>
        </w:rPr>
        <w:t xml:space="preserve">/протокол випробувань </w:t>
      </w:r>
      <w:r w:rsidRPr="009C3267">
        <w:rPr>
          <w:sz w:val="22"/>
        </w:rPr>
        <w:t xml:space="preserve">повинний бути датований не більше </w:t>
      </w:r>
      <w:r w:rsidR="00DC6478">
        <w:rPr>
          <w:sz w:val="22"/>
        </w:rPr>
        <w:t>3–х місячної</w:t>
      </w:r>
      <w:r w:rsidRPr="009C3267">
        <w:rPr>
          <w:sz w:val="22"/>
        </w:rPr>
        <w:t xml:space="preserve"> давнини відносно кінцевої дати подання тендерних пропозицій</w:t>
      </w:r>
      <w:r w:rsidRPr="009C3267">
        <w:rPr>
          <w:sz w:val="20"/>
          <w:szCs w:val="22"/>
          <w:lang w:eastAsia="ar-SA"/>
        </w:rPr>
        <w:t>.</w:t>
      </w:r>
    </w:p>
    <w:p w:rsidR="001A6D78" w:rsidRDefault="001A4676" w:rsidP="00424BE3">
      <w:pPr>
        <w:ind w:right="-24"/>
        <w:jc w:val="both"/>
        <w:rPr>
          <w:rFonts w:eastAsia="Calibri"/>
          <w:b/>
          <w:sz w:val="22"/>
          <w:szCs w:val="22"/>
          <w:lang w:eastAsia="ru-RU"/>
        </w:rPr>
      </w:pPr>
      <w:r w:rsidRPr="00354D37">
        <w:rPr>
          <w:rFonts w:eastAsia="Calibri"/>
          <w:b/>
          <w:bCs/>
          <w:sz w:val="22"/>
          <w:szCs w:val="22"/>
          <w:lang w:eastAsia="ru-RU"/>
        </w:rPr>
        <w:t>В разі, якщо Учасник відповідно до норм чинного Законодавства, або учасник-нерезидент відповідно до норм законодавства країни реєстрації не зобов’язаний подавати, якийсь з вказаних документів, такий Учасник надає лист-роз’яснення в довільній формі в якому зазначає законодавчі підстави ненадання вище зазначених документів</w:t>
      </w:r>
      <w:r w:rsidRPr="00354D37">
        <w:rPr>
          <w:rFonts w:eastAsia="Calibri"/>
          <w:sz w:val="22"/>
          <w:szCs w:val="22"/>
          <w:lang w:eastAsia="ru-RU"/>
        </w:rPr>
        <w:t>.</w:t>
      </w:r>
    </w:p>
    <w:sectPr w:rsidR="001A6D78" w:rsidSect="00354D37">
      <w:pgSz w:w="11906" w:h="16838"/>
      <w:pgMar w:top="568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6EA"/>
    <w:multiLevelType w:val="hybridMultilevel"/>
    <w:tmpl w:val="55ECA24A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8C46B6B"/>
    <w:multiLevelType w:val="hybridMultilevel"/>
    <w:tmpl w:val="6812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31A4"/>
    <w:multiLevelType w:val="hybridMultilevel"/>
    <w:tmpl w:val="BE20498E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FD77DF"/>
    <w:multiLevelType w:val="hybridMultilevel"/>
    <w:tmpl w:val="6D2A65E2"/>
    <w:lvl w:ilvl="0" w:tplc="E1D8D044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B362DE"/>
    <w:multiLevelType w:val="hybridMultilevel"/>
    <w:tmpl w:val="79CC0FD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37416"/>
    <w:multiLevelType w:val="hybridMultilevel"/>
    <w:tmpl w:val="E24CFA28"/>
    <w:lvl w:ilvl="0" w:tplc="B02C25F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42E03"/>
    <w:multiLevelType w:val="multilevel"/>
    <w:tmpl w:val="DF0C82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  <w:lang w:val="uk-UA"/>
      </w:rPr>
    </w:lvl>
    <w:lvl w:ilvl="1">
      <w:start w:val="4"/>
      <w:numFmt w:val="decimal"/>
      <w:lvlText w:val="%2"/>
      <w:lvlJc w:val="left"/>
      <w:pPr>
        <w:ind w:left="1582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7">
    <w:nsid w:val="7DFD1794"/>
    <w:multiLevelType w:val="hybridMultilevel"/>
    <w:tmpl w:val="7BEA6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565FC"/>
    <w:multiLevelType w:val="hybridMultilevel"/>
    <w:tmpl w:val="55ECA24A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38"/>
    <w:rsid w:val="0000028F"/>
    <w:rsid w:val="00010C49"/>
    <w:rsid w:val="00016931"/>
    <w:rsid w:val="000311A8"/>
    <w:rsid w:val="00071664"/>
    <w:rsid w:val="00072F59"/>
    <w:rsid w:val="000A3D0A"/>
    <w:rsid w:val="000D77F0"/>
    <w:rsid w:val="000F2B0E"/>
    <w:rsid w:val="001323F1"/>
    <w:rsid w:val="00156D72"/>
    <w:rsid w:val="001755F3"/>
    <w:rsid w:val="00185FF6"/>
    <w:rsid w:val="001A4676"/>
    <w:rsid w:val="001A6D78"/>
    <w:rsid w:val="001D01FB"/>
    <w:rsid w:val="00204B15"/>
    <w:rsid w:val="002130EF"/>
    <w:rsid w:val="002C1A6F"/>
    <w:rsid w:val="00354D37"/>
    <w:rsid w:val="003C3243"/>
    <w:rsid w:val="003C33CB"/>
    <w:rsid w:val="00424BE3"/>
    <w:rsid w:val="00446B7B"/>
    <w:rsid w:val="004505F3"/>
    <w:rsid w:val="004515D6"/>
    <w:rsid w:val="004C4CC8"/>
    <w:rsid w:val="0052607C"/>
    <w:rsid w:val="0052740A"/>
    <w:rsid w:val="00564BBE"/>
    <w:rsid w:val="005722F7"/>
    <w:rsid w:val="005959FF"/>
    <w:rsid w:val="005A0526"/>
    <w:rsid w:val="005D7162"/>
    <w:rsid w:val="00616ED6"/>
    <w:rsid w:val="006600C0"/>
    <w:rsid w:val="00662360"/>
    <w:rsid w:val="00673E79"/>
    <w:rsid w:val="006849B0"/>
    <w:rsid w:val="0069633B"/>
    <w:rsid w:val="006A638A"/>
    <w:rsid w:val="006F4C8E"/>
    <w:rsid w:val="007159D8"/>
    <w:rsid w:val="0072040E"/>
    <w:rsid w:val="00762F78"/>
    <w:rsid w:val="00771479"/>
    <w:rsid w:val="007A7AAE"/>
    <w:rsid w:val="00804FEF"/>
    <w:rsid w:val="008175A9"/>
    <w:rsid w:val="00856EF1"/>
    <w:rsid w:val="00873289"/>
    <w:rsid w:val="009641B8"/>
    <w:rsid w:val="00970138"/>
    <w:rsid w:val="0097442B"/>
    <w:rsid w:val="00981E4A"/>
    <w:rsid w:val="009C3267"/>
    <w:rsid w:val="00A22EDD"/>
    <w:rsid w:val="00A677AE"/>
    <w:rsid w:val="00AC14FE"/>
    <w:rsid w:val="00AC2D54"/>
    <w:rsid w:val="00AD122B"/>
    <w:rsid w:val="00B12449"/>
    <w:rsid w:val="00B219FE"/>
    <w:rsid w:val="00B317D8"/>
    <w:rsid w:val="00B34D0F"/>
    <w:rsid w:val="00B76497"/>
    <w:rsid w:val="00B87540"/>
    <w:rsid w:val="00C02ED7"/>
    <w:rsid w:val="00C15811"/>
    <w:rsid w:val="00C456C3"/>
    <w:rsid w:val="00C7062C"/>
    <w:rsid w:val="00CA027D"/>
    <w:rsid w:val="00CD0338"/>
    <w:rsid w:val="00D36525"/>
    <w:rsid w:val="00D37FD3"/>
    <w:rsid w:val="00D86C61"/>
    <w:rsid w:val="00D93352"/>
    <w:rsid w:val="00DB492E"/>
    <w:rsid w:val="00DC5E57"/>
    <w:rsid w:val="00DC6478"/>
    <w:rsid w:val="00DE0389"/>
    <w:rsid w:val="00DE2AC6"/>
    <w:rsid w:val="00DF0176"/>
    <w:rsid w:val="00DF4D95"/>
    <w:rsid w:val="00E536B8"/>
    <w:rsid w:val="00E85361"/>
    <w:rsid w:val="00F26047"/>
    <w:rsid w:val="00F91AA6"/>
    <w:rsid w:val="00F96829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Без интервала Знак"/>
    <w:link w:val="a3"/>
    <w:uiPriority w:val="99"/>
    <w:locked/>
    <w:rsid w:val="0001693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641B8"/>
    <w:pPr>
      <w:ind w:left="720"/>
      <w:contextualSpacing/>
    </w:pPr>
  </w:style>
  <w:style w:type="paragraph" w:customStyle="1" w:styleId="1">
    <w:name w:val="Обычный (веб)1"/>
    <w:aliases w:val="Знак2 Знак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17,Знак18 Знак,Знак17 Знак"/>
    <w:basedOn w:val="a"/>
    <w:uiPriority w:val="99"/>
    <w:qFormat/>
    <w:rsid w:val="00354D37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ListParagraph1">
    <w:name w:val="List Paragraph1"/>
    <w:basedOn w:val="a"/>
    <w:uiPriority w:val="99"/>
    <w:rsid w:val="005D7162"/>
    <w:pPr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Без интервала Знак"/>
    <w:link w:val="a3"/>
    <w:uiPriority w:val="99"/>
    <w:locked/>
    <w:rsid w:val="0001693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641B8"/>
    <w:pPr>
      <w:ind w:left="720"/>
      <w:contextualSpacing/>
    </w:pPr>
  </w:style>
  <w:style w:type="paragraph" w:customStyle="1" w:styleId="1">
    <w:name w:val="Обычный (веб)1"/>
    <w:aliases w:val="Знак2 Знак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17,Знак18 Знак,Знак17 Знак"/>
    <w:basedOn w:val="a"/>
    <w:uiPriority w:val="99"/>
    <w:qFormat/>
    <w:rsid w:val="00354D37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ListParagraph1">
    <w:name w:val="List Paragraph1"/>
    <w:basedOn w:val="a"/>
    <w:uiPriority w:val="99"/>
    <w:rsid w:val="005D7162"/>
    <w:pPr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22</cp:revision>
  <cp:lastPrinted>2023-01-11T09:42:00Z</cp:lastPrinted>
  <dcterms:created xsi:type="dcterms:W3CDTF">2023-01-06T09:32:00Z</dcterms:created>
  <dcterms:modified xsi:type="dcterms:W3CDTF">2023-01-19T08:59:00Z</dcterms:modified>
</cp:coreProperties>
</file>