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822BA" w14:textId="1D94546E" w:rsidR="00E778C4" w:rsidRPr="00775FF5" w:rsidRDefault="00814A12" w:rsidP="00814A12">
      <w:pPr>
        <w:rPr>
          <w:b/>
          <w:sz w:val="20"/>
          <w:szCs w:val="20"/>
        </w:rPr>
      </w:pPr>
      <w:r>
        <w:rPr>
          <w:b/>
          <w:sz w:val="20"/>
          <w:szCs w:val="20"/>
        </w:rPr>
        <w:t xml:space="preserve">                                                                                                                                          </w:t>
      </w:r>
      <w:r w:rsidR="00E778C4" w:rsidRPr="00775FF5">
        <w:rPr>
          <w:b/>
          <w:sz w:val="20"/>
          <w:szCs w:val="20"/>
        </w:rPr>
        <w:t>Додаток 1</w:t>
      </w:r>
    </w:p>
    <w:p w14:paraId="06F9094C" w14:textId="77777777" w:rsidR="00E778C4" w:rsidRPr="00775FF5" w:rsidRDefault="00E778C4" w:rsidP="00077D0F">
      <w:pPr>
        <w:ind w:left="6946"/>
        <w:rPr>
          <w:b/>
          <w:sz w:val="20"/>
          <w:szCs w:val="20"/>
        </w:rPr>
      </w:pPr>
      <w:r w:rsidRPr="00775FF5">
        <w:rPr>
          <w:b/>
          <w:sz w:val="20"/>
          <w:szCs w:val="20"/>
        </w:rPr>
        <w:t>до тендерної документації</w:t>
      </w:r>
    </w:p>
    <w:p w14:paraId="13EE7814" w14:textId="77777777" w:rsidR="00E778C4" w:rsidRPr="00775FF5" w:rsidRDefault="00E778C4" w:rsidP="00E778C4">
      <w:pPr>
        <w:widowControl w:val="0"/>
        <w:jc w:val="center"/>
        <w:rPr>
          <w:sz w:val="20"/>
          <w:szCs w:val="20"/>
        </w:rPr>
      </w:pPr>
    </w:p>
    <w:p w14:paraId="2A4937BC" w14:textId="77777777" w:rsidR="00DE3746" w:rsidRDefault="00E778C4" w:rsidP="00DE3746">
      <w:pPr>
        <w:widowControl w:val="0"/>
        <w:jc w:val="center"/>
        <w:rPr>
          <w:b/>
          <w:sz w:val="20"/>
          <w:szCs w:val="20"/>
        </w:rPr>
      </w:pPr>
      <w:r w:rsidRPr="00DE3746">
        <w:rPr>
          <w:b/>
          <w:sz w:val="20"/>
          <w:szCs w:val="20"/>
        </w:rPr>
        <w:t xml:space="preserve">Кваліфікаційні критерії до учасника відповідно до статті 16 Закону </w:t>
      </w:r>
    </w:p>
    <w:p w14:paraId="5E2B2CCE" w14:textId="55EBFDB0" w:rsidR="00DE3746" w:rsidRDefault="00E778C4" w:rsidP="00DE3746">
      <w:pPr>
        <w:widowControl w:val="0"/>
        <w:jc w:val="center"/>
        <w:rPr>
          <w:sz w:val="20"/>
          <w:szCs w:val="20"/>
        </w:rPr>
      </w:pPr>
      <w:r w:rsidRPr="00DE3746">
        <w:rPr>
          <w:b/>
          <w:sz w:val="20"/>
          <w:szCs w:val="20"/>
        </w:rPr>
        <w:t>та спосіб їх документального підтвердження</w:t>
      </w:r>
    </w:p>
    <w:p w14:paraId="68A4C0D7" w14:textId="77777777" w:rsidR="00E778C4" w:rsidRPr="00775FF5" w:rsidRDefault="00E778C4" w:rsidP="00E778C4">
      <w:pPr>
        <w:widowControl w:val="0"/>
        <w:rPr>
          <w:sz w:val="20"/>
          <w:szCs w:val="20"/>
        </w:rPr>
      </w:pPr>
    </w:p>
    <w:tbl>
      <w:tblPr>
        <w:tblW w:w="111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9"/>
        <w:gridCol w:w="6322"/>
        <w:gridCol w:w="2142"/>
      </w:tblGrid>
      <w:tr w:rsidR="00E778C4" w:rsidRPr="00775FF5" w14:paraId="3BC180FA" w14:textId="77777777" w:rsidTr="00814A12">
        <w:trPr>
          <w:trHeight w:val="603"/>
        </w:trPr>
        <w:tc>
          <w:tcPr>
            <w:tcW w:w="567" w:type="dxa"/>
            <w:vAlign w:val="center"/>
          </w:tcPr>
          <w:p w14:paraId="1386E8A7" w14:textId="77777777" w:rsidR="00E778C4" w:rsidRPr="00775FF5" w:rsidRDefault="00E778C4" w:rsidP="00DE3746">
            <w:pPr>
              <w:widowControl w:val="0"/>
              <w:tabs>
                <w:tab w:val="left" w:pos="1080"/>
              </w:tabs>
              <w:jc w:val="center"/>
              <w:rPr>
                <w:b/>
                <w:bCs/>
                <w:sz w:val="20"/>
                <w:szCs w:val="20"/>
              </w:rPr>
            </w:pPr>
            <w:r w:rsidRPr="00775FF5">
              <w:rPr>
                <w:b/>
                <w:bCs/>
                <w:sz w:val="20"/>
                <w:szCs w:val="20"/>
              </w:rPr>
              <w:t>№ з/п</w:t>
            </w:r>
          </w:p>
        </w:tc>
        <w:tc>
          <w:tcPr>
            <w:tcW w:w="2139" w:type="dxa"/>
            <w:vAlign w:val="center"/>
          </w:tcPr>
          <w:p w14:paraId="1A06DB0D" w14:textId="7D17E2FB" w:rsidR="00E778C4" w:rsidRPr="00775FF5" w:rsidRDefault="00E778C4" w:rsidP="00542A64">
            <w:pPr>
              <w:widowControl w:val="0"/>
              <w:tabs>
                <w:tab w:val="left" w:pos="1080"/>
              </w:tabs>
              <w:jc w:val="center"/>
              <w:rPr>
                <w:b/>
                <w:bCs/>
                <w:sz w:val="20"/>
                <w:szCs w:val="20"/>
              </w:rPr>
            </w:pPr>
            <w:r w:rsidRPr="00775FF5">
              <w:rPr>
                <w:b/>
                <w:bCs/>
                <w:sz w:val="20"/>
                <w:szCs w:val="20"/>
              </w:rPr>
              <w:t>Кваліфікаційні критерії та вимоги</w:t>
            </w:r>
          </w:p>
        </w:tc>
        <w:tc>
          <w:tcPr>
            <w:tcW w:w="6322" w:type="dxa"/>
            <w:vAlign w:val="center"/>
          </w:tcPr>
          <w:p w14:paraId="140E4F34" w14:textId="77777777" w:rsidR="00E778C4" w:rsidRPr="00775FF5" w:rsidRDefault="00E778C4" w:rsidP="00DE3746">
            <w:pPr>
              <w:widowControl w:val="0"/>
              <w:tabs>
                <w:tab w:val="left" w:pos="1080"/>
              </w:tabs>
              <w:jc w:val="center"/>
              <w:rPr>
                <w:b/>
                <w:bCs/>
                <w:sz w:val="20"/>
                <w:szCs w:val="20"/>
              </w:rPr>
            </w:pPr>
            <w:r w:rsidRPr="00775FF5">
              <w:rPr>
                <w:b/>
                <w:bCs/>
                <w:sz w:val="20"/>
                <w:szCs w:val="20"/>
              </w:rPr>
              <w:t>Документи,  які підтверджують відповідність Учасника кваліфікаційним критеріям</w:t>
            </w:r>
          </w:p>
        </w:tc>
        <w:tc>
          <w:tcPr>
            <w:tcW w:w="2142" w:type="dxa"/>
            <w:vAlign w:val="center"/>
          </w:tcPr>
          <w:p w14:paraId="04012A54" w14:textId="77777777" w:rsidR="00E778C4" w:rsidRPr="00775FF5" w:rsidRDefault="00E778C4" w:rsidP="00DE3746">
            <w:pPr>
              <w:widowControl w:val="0"/>
              <w:tabs>
                <w:tab w:val="left" w:pos="1080"/>
              </w:tabs>
              <w:jc w:val="center"/>
              <w:rPr>
                <w:b/>
                <w:bCs/>
                <w:sz w:val="20"/>
                <w:szCs w:val="20"/>
              </w:rPr>
            </w:pPr>
            <w:r w:rsidRPr="00775FF5">
              <w:rPr>
                <w:b/>
                <w:bCs/>
                <w:sz w:val="20"/>
                <w:szCs w:val="20"/>
              </w:rPr>
              <w:t>Критерії оцінки відповідності</w:t>
            </w:r>
          </w:p>
        </w:tc>
      </w:tr>
      <w:tr w:rsidR="002F5C0B" w:rsidRPr="00775FF5" w14:paraId="5EC6C550" w14:textId="77777777" w:rsidTr="00814A12">
        <w:trPr>
          <w:trHeight w:val="3859"/>
        </w:trPr>
        <w:tc>
          <w:tcPr>
            <w:tcW w:w="567" w:type="dxa"/>
          </w:tcPr>
          <w:p w14:paraId="16657CF0" w14:textId="77777777" w:rsidR="00053578" w:rsidRDefault="00053578" w:rsidP="0071040E">
            <w:pPr>
              <w:widowControl w:val="0"/>
              <w:tabs>
                <w:tab w:val="left" w:pos="1080"/>
              </w:tabs>
              <w:jc w:val="center"/>
              <w:rPr>
                <w:b/>
                <w:bCs/>
                <w:sz w:val="20"/>
                <w:szCs w:val="20"/>
              </w:rPr>
            </w:pPr>
          </w:p>
          <w:p w14:paraId="22AEB367" w14:textId="21A43B38" w:rsidR="002F5C0B" w:rsidRPr="00775FF5" w:rsidRDefault="002F5C0B" w:rsidP="0071040E">
            <w:pPr>
              <w:widowControl w:val="0"/>
              <w:tabs>
                <w:tab w:val="left" w:pos="1080"/>
              </w:tabs>
              <w:jc w:val="center"/>
              <w:rPr>
                <w:b/>
                <w:bCs/>
                <w:sz w:val="20"/>
                <w:szCs w:val="20"/>
              </w:rPr>
            </w:pPr>
            <w:r>
              <w:rPr>
                <w:b/>
                <w:bCs/>
                <w:sz w:val="20"/>
                <w:szCs w:val="20"/>
              </w:rPr>
              <w:t>1</w:t>
            </w:r>
          </w:p>
        </w:tc>
        <w:tc>
          <w:tcPr>
            <w:tcW w:w="2139" w:type="dxa"/>
          </w:tcPr>
          <w:p w14:paraId="10152628" w14:textId="77777777" w:rsidR="00053578" w:rsidRDefault="00053578" w:rsidP="00607DD7">
            <w:pPr>
              <w:rPr>
                <w:b/>
                <w:color w:val="000000"/>
                <w:sz w:val="20"/>
                <w:szCs w:val="20"/>
              </w:rPr>
            </w:pPr>
          </w:p>
          <w:p w14:paraId="10D9784D" w14:textId="77777777" w:rsidR="002F5C0B" w:rsidRDefault="002F5C0B" w:rsidP="00607DD7">
            <w:pPr>
              <w:rPr>
                <w:sz w:val="20"/>
                <w:szCs w:val="20"/>
              </w:rPr>
            </w:pPr>
            <w:r>
              <w:rPr>
                <w:b/>
                <w:color w:val="000000"/>
                <w:sz w:val="20"/>
                <w:szCs w:val="20"/>
              </w:rPr>
              <w:t>Наявність обладнання, матеріально-технічної бази та технологій*</w:t>
            </w:r>
          </w:p>
          <w:p w14:paraId="232535CF" w14:textId="1C23402E" w:rsidR="002F5C0B" w:rsidRPr="00775FF5" w:rsidRDefault="002F5C0B" w:rsidP="00607DD7">
            <w:pPr>
              <w:rPr>
                <w:sz w:val="20"/>
                <w:szCs w:val="20"/>
                <w:lang w:eastAsia="uk-UA"/>
              </w:rPr>
            </w:pPr>
            <w:r>
              <w:rPr>
                <w:i/>
                <w:color w:val="000000"/>
                <w:sz w:val="20"/>
                <w:szCs w:val="20"/>
              </w:rPr>
              <w:t>*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22" w:type="dxa"/>
          </w:tcPr>
          <w:p w14:paraId="6E0D0357" w14:textId="77777777" w:rsidR="00053578" w:rsidRDefault="00053578" w:rsidP="002F5C0B">
            <w:pPr>
              <w:shd w:val="clear" w:color="auto" w:fill="FFFFFF"/>
              <w:jc w:val="both"/>
              <w:rPr>
                <w:color w:val="000000"/>
                <w:sz w:val="20"/>
                <w:szCs w:val="20"/>
              </w:rPr>
            </w:pPr>
          </w:p>
          <w:p w14:paraId="45AEA62F" w14:textId="77777777" w:rsidR="002F5C0B" w:rsidRDefault="002F5C0B" w:rsidP="002F5C0B">
            <w:pPr>
              <w:shd w:val="clear" w:color="auto" w:fill="FFFFFF"/>
              <w:jc w:val="both"/>
              <w:rPr>
                <w:sz w:val="20"/>
                <w:szCs w:val="20"/>
              </w:rPr>
            </w:pPr>
            <w:r>
              <w:rPr>
                <w:color w:val="000000"/>
                <w:sz w:val="20"/>
                <w:szCs w:val="20"/>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658E134C" w14:textId="7E5AE7CD" w:rsidR="002F5C0B" w:rsidRPr="00775FF5" w:rsidRDefault="002F5C0B" w:rsidP="002F5C0B">
            <w:pPr>
              <w:jc w:val="both"/>
              <w:rPr>
                <w:sz w:val="20"/>
                <w:szCs w:val="20"/>
              </w:rPr>
            </w:pPr>
          </w:p>
        </w:tc>
        <w:tc>
          <w:tcPr>
            <w:tcW w:w="2142" w:type="dxa"/>
          </w:tcPr>
          <w:p w14:paraId="0446180C" w14:textId="77777777" w:rsidR="00053578" w:rsidRDefault="00053578" w:rsidP="0071040E">
            <w:pPr>
              <w:suppressAutoHyphens/>
              <w:ind w:right="22"/>
              <w:jc w:val="both"/>
              <w:rPr>
                <w:color w:val="000000"/>
                <w:sz w:val="20"/>
                <w:szCs w:val="20"/>
              </w:rPr>
            </w:pPr>
          </w:p>
          <w:p w14:paraId="1687474B" w14:textId="13160181" w:rsidR="002F5C0B" w:rsidRPr="00775FF5" w:rsidRDefault="004A7153" w:rsidP="0071040E">
            <w:pPr>
              <w:suppressAutoHyphens/>
              <w:ind w:right="22"/>
              <w:jc w:val="both"/>
              <w:rPr>
                <w:color w:val="000000"/>
                <w:sz w:val="20"/>
                <w:szCs w:val="20"/>
              </w:rPr>
            </w:pPr>
            <w:r>
              <w:rPr>
                <w:color w:val="000000"/>
                <w:sz w:val="20"/>
                <w:szCs w:val="20"/>
              </w:rPr>
              <w:t>Учасник повинен мати відповідну матеріально-технічну базу для якісного надання послуг.</w:t>
            </w:r>
          </w:p>
        </w:tc>
      </w:tr>
      <w:tr w:rsidR="00E778C4" w:rsidRPr="00775FF5" w14:paraId="4AE339C8" w14:textId="77777777" w:rsidTr="00814A12">
        <w:trPr>
          <w:trHeight w:val="7930"/>
        </w:trPr>
        <w:tc>
          <w:tcPr>
            <w:tcW w:w="567" w:type="dxa"/>
          </w:tcPr>
          <w:p w14:paraId="097DD3F6" w14:textId="77777777" w:rsidR="00E778C4" w:rsidRPr="00775FF5" w:rsidRDefault="00E778C4" w:rsidP="00607DD7">
            <w:pPr>
              <w:widowControl w:val="0"/>
              <w:tabs>
                <w:tab w:val="left" w:pos="1080"/>
              </w:tabs>
              <w:rPr>
                <w:b/>
                <w:bCs/>
                <w:sz w:val="20"/>
                <w:szCs w:val="20"/>
              </w:rPr>
            </w:pPr>
          </w:p>
          <w:p w14:paraId="6444ABE8" w14:textId="1595D60E" w:rsidR="00E778C4" w:rsidRPr="00775FF5" w:rsidRDefault="004A7153" w:rsidP="00607DD7">
            <w:pPr>
              <w:widowControl w:val="0"/>
              <w:tabs>
                <w:tab w:val="left" w:pos="1080"/>
              </w:tabs>
              <w:rPr>
                <w:b/>
                <w:bCs/>
                <w:sz w:val="20"/>
                <w:szCs w:val="20"/>
              </w:rPr>
            </w:pPr>
            <w:r>
              <w:rPr>
                <w:b/>
                <w:bCs/>
                <w:sz w:val="20"/>
                <w:szCs w:val="20"/>
              </w:rPr>
              <w:t>2</w:t>
            </w:r>
          </w:p>
        </w:tc>
        <w:tc>
          <w:tcPr>
            <w:tcW w:w="2139" w:type="dxa"/>
          </w:tcPr>
          <w:p w14:paraId="3983BD59" w14:textId="77777777" w:rsidR="00E778C4" w:rsidRPr="00775FF5" w:rsidRDefault="00E778C4" w:rsidP="00607DD7">
            <w:pPr>
              <w:widowControl w:val="0"/>
              <w:tabs>
                <w:tab w:val="left" w:pos="1080"/>
              </w:tabs>
              <w:rPr>
                <w:sz w:val="20"/>
                <w:szCs w:val="20"/>
                <w:lang w:eastAsia="uk-UA"/>
              </w:rPr>
            </w:pPr>
          </w:p>
          <w:p w14:paraId="453BB41D" w14:textId="77777777" w:rsidR="00E778C4" w:rsidRPr="00775FF5" w:rsidRDefault="00E778C4" w:rsidP="00607DD7">
            <w:pPr>
              <w:widowControl w:val="0"/>
              <w:tabs>
                <w:tab w:val="left" w:pos="1080"/>
              </w:tabs>
              <w:rPr>
                <w:sz w:val="20"/>
                <w:szCs w:val="20"/>
              </w:rPr>
            </w:pPr>
            <w:r w:rsidRPr="00775FF5">
              <w:rPr>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22" w:type="dxa"/>
          </w:tcPr>
          <w:p w14:paraId="68E8B431" w14:textId="77777777" w:rsidR="00607DD7" w:rsidRDefault="00607DD7" w:rsidP="0071040E">
            <w:pPr>
              <w:jc w:val="both"/>
              <w:rPr>
                <w:sz w:val="20"/>
                <w:szCs w:val="20"/>
              </w:rPr>
            </w:pPr>
          </w:p>
          <w:p w14:paraId="4C7B18A4" w14:textId="77777777" w:rsidR="00814A12" w:rsidRPr="001F0ACF" w:rsidRDefault="00327C38" w:rsidP="00814A12">
            <w:pPr>
              <w:ind w:left="-15"/>
              <w:jc w:val="both"/>
              <w:rPr>
                <w:color w:val="000000" w:themeColor="text1"/>
                <w:sz w:val="20"/>
                <w:szCs w:val="20"/>
              </w:rPr>
            </w:pPr>
            <w:r w:rsidRPr="00503674">
              <w:rPr>
                <w:b/>
                <w:sz w:val="20"/>
                <w:szCs w:val="20"/>
              </w:rPr>
              <w:t>2</w:t>
            </w:r>
            <w:r w:rsidR="00E778C4" w:rsidRPr="00503674">
              <w:rPr>
                <w:b/>
                <w:sz w:val="20"/>
                <w:szCs w:val="20"/>
              </w:rPr>
              <w:t>.1.</w:t>
            </w:r>
            <w:r w:rsidR="00E778C4" w:rsidRPr="00503674">
              <w:rPr>
                <w:sz w:val="20"/>
                <w:szCs w:val="20"/>
              </w:rPr>
              <w:t xml:space="preserve"> </w:t>
            </w:r>
            <w:r w:rsidR="00814A12" w:rsidRPr="001F0ACF">
              <w:rPr>
                <w:color w:val="000000" w:themeColor="text1"/>
                <w:sz w:val="20"/>
                <w:szCs w:val="20"/>
              </w:rPr>
              <w:t xml:space="preserve">Довідка про наявність документально підтвердженого досвіду виконання </w:t>
            </w:r>
            <w:r w:rsidR="00814A12" w:rsidRPr="001F0ACF">
              <w:rPr>
                <w:sz w:val="20"/>
                <w:szCs w:val="20"/>
              </w:rPr>
              <w:t>аналогічного(них) договору (рів</w:t>
            </w:r>
            <w:r w:rsidR="00814A12" w:rsidRPr="001F0ACF">
              <w:rPr>
                <w:color w:val="000000" w:themeColor="text1"/>
                <w:sz w:val="20"/>
                <w:szCs w:val="20"/>
              </w:rPr>
              <w:t>)</w:t>
            </w:r>
            <w:r w:rsidR="00814A12" w:rsidRPr="001F0ACF">
              <w:rPr>
                <w:sz w:val="20"/>
                <w:szCs w:val="20"/>
              </w:rPr>
              <w:t xml:space="preserve"> (не менше 1)</w:t>
            </w:r>
            <w:r w:rsidR="00814A12" w:rsidRPr="001F0ACF">
              <w:rPr>
                <w:color w:val="000000" w:themeColor="text1"/>
                <w:sz w:val="20"/>
                <w:szCs w:val="20"/>
              </w:rPr>
              <w:t xml:space="preserve">, які (який) були укладені в результаті проведення процедур закупівель та інформація щодо яких наявна на </w:t>
            </w:r>
            <w:proofErr w:type="spellStart"/>
            <w:r w:rsidR="00814A12" w:rsidRPr="001F0ACF">
              <w:rPr>
                <w:color w:val="000000" w:themeColor="text1"/>
                <w:sz w:val="20"/>
                <w:szCs w:val="20"/>
              </w:rPr>
              <w:t>веб-порталі</w:t>
            </w:r>
            <w:proofErr w:type="spellEnd"/>
            <w:r w:rsidR="00814A12" w:rsidRPr="001F0ACF">
              <w:rPr>
                <w:color w:val="000000" w:themeColor="text1"/>
                <w:sz w:val="20"/>
                <w:szCs w:val="20"/>
              </w:rPr>
              <w:t xml:space="preserve"> Уповноваженого органу https://prozorro.gov.ua/, за наведеною формою:</w:t>
            </w:r>
          </w:p>
          <w:tbl>
            <w:tblPr>
              <w:tblW w:w="6096" w:type="dxa"/>
              <w:tblLook w:val="04A0" w:firstRow="1" w:lastRow="0" w:firstColumn="1" w:lastColumn="0" w:noHBand="0" w:noVBand="1"/>
            </w:tblPr>
            <w:tblGrid>
              <w:gridCol w:w="343"/>
              <w:gridCol w:w="1227"/>
              <w:gridCol w:w="984"/>
              <w:gridCol w:w="872"/>
              <w:gridCol w:w="1125"/>
              <w:gridCol w:w="1545"/>
            </w:tblGrid>
            <w:tr w:rsidR="00814A12" w:rsidRPr="001F0ACF" w14:paraId="7D825741" w14:textId="77777777" w:rsidTr="00DF1129">
              <w:tc>
                <w:tcPr>
                  <w:tcW w:w="343" w:type="dxa"/>
                  <w:tcBorders>
                    <w:top w:val="single" w:sz="4" w:space="0" w:color="000000"/>
                    <w:left w:val="single" w:sz="4" w:space="0" w:color="000000"/>
                    <w:bottom w:val="single" w:sz="4" w:space="0" w:color="000000"/>
                    <w:right w:val="nil"/>
                  </w:tcBorders>
                  <w:hideMark/>
                </w:tcPr>
                <w:p w14:paraId="296D1D8D" w14:textId="77777777" w:rsidR="00814A12" w:rsidRPr="001F0ACF" w:rsidRDefault="00814A12" w:rsidP="00DF1129">
                  <w:pPr>
                    <w:ind w:left="-15" w:right="-114"/>
                    <w:jc w:val="center"/>
                    <w:rPr>
                      <w:color w:val="000000" w:themeColor="text1"/>
                      <w:sz w:val="20"/>
                      <w:szCs w:val="20"/>
                    </w:rPr>
                  </w:pPr>
                  <w:r w:rsidRPr="001F0ACF">
                    <w:rPr>
                      <w:color w:val="000000" w:themeColor="text1"/>
                      <w:sz w:val="20"/>
                      <w:szCs w:val="20"/>
                    </w:rPr>
                    <w:t>№ з/п</w:t>
                  </w:r>
                </w:p>
              </w:tc>
              <w:tc>
                <w:tcPr>
                  <w:tcW w:w="1227" w:type="dxa"/>
                  <w:tcBorders>
                    <w:top w:val="single" w:sz="4" w:space="0" w:color="000000"/>
                    <w:left w:val="single" w:sz="4" w:space="0" w:color="000000"/>
                    <w:bottom w:val="single" w:sz="4" w:space="0" w:color="000000"/>
                    <w:right w:val="nil"/>
                  </w:tcBorders>
                  <w:hideMark/>
                </w:tcPr>
                <w:p w14:paraId="5A13791F" w14:textId="77777777" w:rsidR="00814A12" w:rsidRPr="001F0ACF" w:rsidRDefault="00814A12" w:rsidP="00DF1129">
                  <w:pPr>
                    <w:ind w:left="-15" w:right="-108"/>
                    <w:jc w:val="center"/>
                    <w:rPr>
                      <w:color w:val="000000" w:themeColor="text1"/>
                      <w:sz w:val="20"/>
                      <w:szCs w:val="20"/>
                    </w:rPr>
                  </w:pPr>
                  <w:r w:rsidRPr="001F0ACF">
                    <w:rPr>
                      <w:color w:val="000000" w:themeColor="text1"/>
                      <w:sz w:val="20"/>
                      <w:szCs w:val="20"/>
                    </w:rPr>
                    <w:t>Назва замовника,</w:t>
                  </w:r>
                </w:p>
                <w:p w14:paraId="381A7E5E" w14:textId="77777777" w:rsidR="00814A12" w:rsidRPr="001F0ACF" w:rsidRDefault="00814A12" w:rsidP="00DF1129">
                  <w:pPr>
                    <w:ind w:left="-15" w:right="-108"/>
                    <w:jc w:val="center"/>
                    <w:rPr>
                      <w:color w:val="000000" w:themeColor="text1"/>
                      <w:sz w:val="20"/>
                      <w:szCs w:val="20"/>
                    </w:rPr>
                  </w:pPr>
                  <w:r w:rsidRPr="001F0ACF">
                    <w:rPr>
                      <w:color w:val="000000" w:themeColor="text1"/>
                      <w:sz w:val="20"/>
                      <w:szCs w:val="20"/>
                    </w:rPr>
                    <w:t>адреса, телефон</w:t>
                  </w:r>
                </w:p>
              </w:tc>
              <w:tc>
                <w:tcPr>
                  <w:tcW w:w="984" w:type="dxa"/>
                  <w:tcBorders>
                    <w:top w:val="single" w:sz="4" w:space="0" w:color="000000"/>
                    <w:left w:val="single" w:sz="4" w:space="0" w:color="000000"/>
                    <w:bottom w:val="single" w:sz="4" w:space="0" w:color="000000"/>
                    <w:right w:val="nil"/>
                  </w:tcBorders>
                  <w:hideMark/>
                </w:tcPr>
                <w:p w14:paraId="6B6EA966" w14:textId="77777777" w:rsidR="00814A12" w:rsidRPr="001F0ACF" w:rsidRDefault="00814A12" w:rsidP="00DF1129">
                  <w:pPr>
                    <w:ind w:left="-15" w:right="-108"/>
                    <w:jc w:val="center"/>
                    <w:rPr>
                      <w:color w:val="000000" w:themeColor="text1"/>
                      <w:sz w:val="20"/>
                      <w:szCs w:val="20"/>
                    </w:rPr>
                  </w:pPr>
                  <w:r w:rsidRPr="001F0ACF">
                    <w:rPr>
                      <w:color w:val="000000" w:themeColor="text1"/>
                      <w:sz w:val="20"/>
                      <w:szCs w:val="20"/>
                    </w:rPr>
                    <w:t>Предмет договору</w:t>
                  </w:r>
                </w:p>
              </w:tc>
              <w:tc>
                <w:tcPr>
                  <w:tcW w:w="872" w:type="dxa"/>
                  <w:tcBorders>
                    <w:top w:val="single" w:sz="4" w:space="0" w:color="000000"/>
                    <w:left w:val="single" w:sz="4" w:space="0" w:color="000000"/>
                    <w:bottom w:val="single" w:sz="4" w:space="0" w:color="000000"/>
                    <w:right w:val="nil"/>
                  </w:tcBorders>
                  <w:hideMark/>
                </w:tcPr>
                <w:p w14:paraId="0F659250" w14:textId="77777777" w:rsidR="00814A12" w:rsidRPr="001F0ACF" w:rsidRDefault="00814A12" w:rsidP="00DF1129">
                  <w:pPr>
                    <w:ind w:left="-15" w:right="-108"/>
                    <w:jc w:val="center"/>
                    <w:rPr>
                      <w:color w:val="000000" w:themeColor="text1"/>
                      <w:sz w:val="20"/>
                      <w:szCs w:val="20"/>
                    </w:rPr>
                  </w:pPr>
                  <w:r w:rsidRPr="001F0ACF">
                    <w:rPr>
                      <w:color w:val="000000" w:themeColor="text1"/>
                      <w:sz w:val="20"/>
                      <w:szCs w:val="20"/>
                    </w:rPr>
                    <w:t>Вартість договору</w:t>
                  </w:r>
                </w:p>
              </w:tc>
              <w:tc>
                <w:tcPr>
                  <w:tcW w:w="1125" w:type="dxa"/>
                  <w:tcBorders>
                    <w:top w:val="single" w:sz="4" w:space="0" w:color="000000"/>
                    <w:left w:val="single" w:sz="4" w:space="0" w:color="000000"/>
                    <w:bottom w:val="single" w:sz="4" w:space="0" w:color="000000"/>
                    <w:right w:val="single" w:sz="4" w:space="0" w:color="000000"/>
                  </w:tcBorders>
                </w:tcPr>
                <w:p w14:paraId="46AABBE3" w14:textId="77777777" w:rsidR="00814A12" w:rsidRPr="001F0ACF" w:rsidRDefault="00814A12" w:rsidP="00DF1129">
                  <w:pPr>
                    <w:ind w:left="-15" w:right="-108"/>
                    <w:jc w:val="center"/>
                    <w:rPr>
                      <w:color w:val="000000" w:themeColor="text1"/>
                      <w:sz w:val="20"/>
                      <w:szCs w:val="20"/>
                    </w:rPr>
                  </w:pPr>
                  <w:r w:rsidRPr="001F0ACF">
                    <w:rPr>
                      <w:color w:val="000000" w:themeColor="text1"/>
                      <w:sz w:val="20"/>
                      <w:szCs w:val="20"/>
                    </w:rPr>
                    <w:t>Строк договору</w:t>
                  </w:r>
                </w:p>
              </w:tc>
              <w:tc>
                <w:tcPr>
                  <w:tcW w:w="1545" w:type="dxa"/>
                  <w:tcBorders>
                    <w:top w:val="single" w:sz="4" w:space="0" w:color="000000"/>
                    <w:left w:val="single" w:sz="4" w:space="0" w:color="000000"/>
                    <w:bottom w:val="single" w:sz="4" w:space="0" w:color="000000"/>
                    <w:right w:val="single" w:sz="4" w:space="0" w:color="000000"/>
                  </w:tcBorders>
                  <w:hideMark/>
                </w:tcPr>
                <w:p w14:paraId="1EF6CF7B" w14:textId="77777777" w:rsidR="00814A12" w:rsidRPr="001F0ACF" w:rsidRDefault="00814A12" w:rsidP="00DF1129">
                  <w:pPr>
                    <w:ind w:left="-15" w:right="-108"/>
                    <w:jc w:val="center"/>
                    <w:rPr>
                      <w:color w:val="000000" w:themeColor="text1"/>
                      <w:sz w:val="20"/>
                      <w:szCs w:val="20"/>
                    </w:rPr>
                  </w:pPr>
                  <w:r w:rsidRPr="001F0ACF">
                    <w:rPr>
                      <w:color w:val="000000" w:themeColor="text1"/>
                      <w:sz w:val="20"/>
                      <w:szCs w:val="20"/>
                    </w:rPr>
                    <w:t xml:space="preserve">Номер оголошення на </w:t>
                  </w:r>
                  <w:proofErr w:type="spellStart"/>
                  <w:r w:rsidRPr="001F0ACF">
                    <w:rPr>
                      <w:color w:val="000000" w:themeColor="text1"/>
                      <w:sz w:val="20"/>
                      <w:szCs w:val="20"/>
                    </w:rPr>
                    <w:t>веб-порталі</w:t>
                  </w:r>
                  <w:proofErr w:type="spellEnd"/>
                  <w:r w:rsidRPr="001F0ACF">
                    <w:rPr>
                      <w:color w:val="000000" w:themeColor="text1"/>
                      <w:sz w:val="20"/>
                      <w:szCs w:val="20"/>
                    </w:rPr>
                    <w:t xml:space="preserve"> Уповноваженого органу</w:t>
                  </w:r>
                </w:p>
              </w:tc>
            </w:tr>
            <w:tr w:rsidR="00814A12" w:rsidRPr="001F0ACF" w14:paraId="525E431E" w14:textId="77777777" w:rsidTr="00DF1129">
              <w:tc>
                <w:tcPr>
                  <w:tcW w:w="343" w:type="dxa"/>
                  <w:tcBorders>
                    <w:top w:val="single" w:sz="4" w:space="0" w:color="000000"/>
                    <w:left w:val="single" w:sz="4" w:space="0" w:color="000000"/>
                    <w:bottom w:val="single" w:sz="4" w:space="0" w:color="000000"/>
                    <w:right w:val="nil"/>
                  </w:tcBorders>
                  <w:hideMark/>
                </w:tcPr>
                <w:p w14:paraId="0C5A53F3" w14:textId="77777777" w:rsidR="00814A12" w:rsidRPr="001F0ACF" w:rsidRDefault="00814A12" w:rsidP="00DF1129">
                  <w:pPr>
                    <w:ind w:left="-15" w:right="-154"/>
                    <w:jc w:val="center"/>
                    <w:rPr>
                      <w:color w:val="000000" w:themeColor="text1"/>
                      <w:sz w:val="20"/>
                      <w:szCs w:val="20"/>
                    </w:rPr>
                  </w:pPr>
                  <w:r w:rsidRPr="001F0ACF">
                    <w:rPr>
                      <w:color w:val="000000" w:themeColor="text1"/>
                      <w:sz w:val="20"/>
                      <w:szCs w:val="20"/>
                    </w:rPr>
                    <w:t>1</w:t>
                  </w:r>
                </w:p>
              </w:tc>
              <w:tc>
                <w:tcPr>
                  <w:tcW w:w="1227" w:type="dxa"/>
                  <w:tcBorders>
                    <w:top w:val="single" w:sz="4" w:space="0" w:color="000000"/>
                    <w:left w:val="single" w:sz="4" w:space="0" w:color="000000"/>
                    <w:bottom w:val="single" w:sz="4" w:space="0" w:color="000000"/>
                    <w:right w:val="nil"/>
                  </w:tcBorders>
                  <w:hideMark/>
                </w:tcPr>
                <w:p w14:paraId="00534402" w14:textId="77777777" w:rsidR="00814A12" w:rsidRPr="001F0ACF" w:rsidRDefault="00814A12" w:rsidP="00DF1129">
                  <w:pPr>
                    <w:ind w:left="-15"/>
                    <w:jc w:val="center"/>
                    <w:rPr>
                      <w:color w:val="000000" w:themeColor="text1"/>
                      <w:sz w:val="20"/>
                      <w:szCs w:val="20"/>
                    </w:rPr>
                  </w:pPr>
                  <w:r w:rsidRPr="001F0ACF">
                    <w:rPr>
                      <w:color w:val="000000" w:themeColor="text1"/>
                      <w:sz w:val="20"/>
                      <w:szCs w:val="20"/>
                    </w:rPr>
                    <w:t>2</w:t>
                  </w:r>
                </w:p>
              </w:tc>
              <w:tc>
                <w:tcPr>
                  <w:tcW w:w="984" w:type="dxa"/>
                  <w:tcBorders>
                    <w:top w:val="single" w:sz="4" w:space="0" w:color="000000"/>
                    <w:left w:val="single" w:sz="4" w:space="0" w:color="000000"/>
                    <w:bottom w:val="single" w:sz="4" w:space="0" w:color="000000"/>
                    <w:right w:val="nil"/>
                  </w:tcBorders>
                  <w:hideMark/>
                </w:tcPr>
                <w:p w14:paraId="1564B315" w14:textId="77777777" w:rsidR="00814A12" w:rsidRPr="001F0ACF" w:rsidRDefault="00814A12" w:rsidP="00DF1129">
                  <w:pPr>
                    <w:ind w:left="-15"/>
                    <w:jc w:val="center"/>
                    <w:rPr>
                      <w:color w:val="000000" w:themeColor="text1"/>
                      <w:sz w:val="20"/>
                      <w:szCs w:val="20"/>
                    </w:rPr>
                  </w:pPr>
                  <w:r w:rsidRPr="001F0ACF">
                    <w:rPr>
                      <w:color w:val="000000" w:themeColor="text1"/>
                      <w:sz w:val="20"/>
                      <w:szCs w:val="20"/>
                    </w:rPr>
                    <w:t>3</w:t>
                  </w:r>
                </w:p>
              </w:tc>
              <w:tc>
                <w:tcPr>
                  <w:tcW w:w="872" w:type="dxa"/>
                  <w:tcBorders>
                    <w:top w:val="single" w:sz="4" w:space="0" w:color="000000"/>
                    <w:left w:val="single" w:sz="4" w:space="0" w:color="000000"/>
                    <w:bottom w:val="single" w:sz="4" w:space="0" w:color="000000"/>
                    <w:right w:val="nil"/>
                  </w:tcBorders>
                  <w:hideMark/>
                </w:tcPr>
                <w:p w14:paraId="5336E281" w14:textId="77777777" w:rsidR="00814A12" w:rsidRPr="001F0ACF" w:rsidRDefault="00814A12" w:rsidP="00DF1129">
                  <w:pPr>
                    <w:ind w:left="-15"/>
                    <w:jc w:val="center"/>
                    <w:rPr>
                      <w:color w:val="000000" w:themeColor="text1"/>
                      <w:sz w:val="20"/>
                      <w:szCs w:val="20"/>
                    </w:rPr>
                  </w:pPr>
                  <w:r w:rsidRPr="001F0ACF">
                    <w:rPr>
                      <w:color w:val="000000" w:themeColor="text1"/>
                      <w:sz w:val="20"/>
                      <w:szCs w:val="20"/>
                    </w:rPr>
                    <w:t>4</w:t>
                  </w:r>
                </w:p>
              </w:tc>
              <w:tc>
                <w:tcPr>
                  <w:tcW w:w="1125" w:type="dxa"/>
                  <w:tcBorders>
                    <w:top w:val="single" w:sz="4" w:space="0" w:color="000000"/>
                    <w:left w:val="single" w:sz="4" w:space="0" w:color="000000"/>
                    <w:bottom w:val="single" w:sz="4" w:space="0" w:color="000000"/>
                    <w:right w:val="single" w:sz="4" w:space="0" w:color="000000"/>
                  </w:tcBorders>
                </w:tcPr>
                <w:p w14:paraId="7B9C47B5" w14:textId="77777777" w:rsidR="00814A12" w:rsidRPr="001F0ACF" w:rsidRDefault="00814A12" w:rsidP="00DF1129">
                  <w:pPr>
                    <w:ind w:left="-15"/>
                    <w:jc w:val="center"/>
                    <w:rPr>
                      <w:color w:val="000000" w:themeColor="text1"/>
                      <w:sz w:val="20"/>
                      <w:szCs w:val="20"/>
                    </w:rPr>
                  </w:pPr>
                  <w:r w:rsidRPr="001F0ACF">
                    <w:rPr>
                      <w:color w:val="000000" w:themeColor="text1"/>
                      <w:sz w:val="20"/>
                      <w:szCs w:val="20"/>
                    </w:rPr>
                    <w:t>5</w:t>
                  </w:r>
                </w:p>
              </w:tc>
              <w:tc>
                <w:tcPr>
                  <w:tcW w:w="1545" w:type="dxa"/>
                  <w:tcBorders>
                    <w:top w:val="single" w:sz="4" w:space="0" w:color="000000"/>
                    <w:left w:val="single" w:sz="4" w:space="0" w:color="000000"/>
                    <w:bottom w:val="single" w:sz="4" w:space="0" w:color="000000"/>
                    <w:right w:val="single" w:sz="4" w:space="0" w:color="000000"/>
                  </w:tcBorders>
                  <w:hideMark/>
                </w:tcPr>
                <w:p w14:paraId="3577DCCC" w14:textId="77777777" w:rsidR="00814A12" w:rsidRPr="001F0ACF" w:rsidRDefault="00814A12" w:rsidP="00DF1129">
                  <w:pPr>
                    <w:ind w:left="-15"/>
                    <w:jc w:val="center"/>
                    <w:rPr>
                      <w:color w:val="000000" w:themeColor="text1"/>
                      <w:sz w:val="20"/>
                      <w:szCs w:val="20"/>
                    </w:rPr>
                  </w:pPr>
                  <w:r w:rsidRPr="001F0ACF">
                    <w:rPr>
                      <w:color w:val="000000" w:themeColor="text1"/>
                      <w:sz w:val="20"/>
                      <w:szCs w:val="20"/>
                    </w:rPr>
                    <w:t>6</w:t>
                  </w:r>
                </w:p>
              </w:tc>
            </w:tr>
            <w:tr w:rsidR="00814A12" w:rsidRPr="001F0ACF" w14:paraId="0892029C" w14:textId="77777777" w:rsidTr="00DF1129">
              <w:tc>
                <w:tcPr>
                  <w:tcW w:w="343" w:type="dxa"/>
                  <w:tcBorders>
                    <w:top w:val="single" w:sz="4" w:space="0" w:color="000000"/>
                    <w:left w:val="single" w:sz="4" w:space="0" w:color="000000"/>
                    <w:bottom w:val="single" w:sz="4" w:space="0" w:color="000000"/>
                    <w:right w:val="nil"/>
                  </w:tcBorders>
                </w:tcPr>
                <w:p w14:paraId="0541BAE8" w14:textId="77777777" w:rsidR="00814A12" w:rsidRPr="001F0ACF" w:rsidRDefault="00814A12" w:rsidP="00DF1129">
                  <w:pPr>
                    <w:ind w:left="-15" w:right="-154"/>
                    <w:jc w:val="center"/>
                    <w:rPr>
                      <w:color w:val="000000" w:themeColor="text1"/>
                      <w:sz w:val="20"/>
                      <w:szCs w:val="20"/>
                    </w:rPr>
                  </w:pPr>
                </w:p>
              </w:tc>
              <w:tc>
                <w:tcPr>
                  <w:tcW w:w="1227" w:type="dxa"/>
                  <w:tcBorders>
                    <w:top w:val="single" w:sz="4" w:space="0" w:color="000000"/>
                    <w:left w:val="single" w:sz="4" w:space="0" w:color="000000"/>
                    <w:bottom w:val="single" w:sz="4" w:space="0" w:color="000000"/>
                    <w:right w:val="nil"/>
                  </w:tcBorders>
                </w:tcPr>
                <w:p w14:paraId="45AC0410" w14:textId="77777777" w:rsidR="00814A12" w:rsidRPr="001F0ACF" w:rsidRDefault="00814A12" w:rsidP="00DF1129">
                  <w:pPr>
                    <w:ind w:left="-15"/>
                    <w:jc w:val="center"/>
                    <w:rPr>
                      <w:color w:val="000000" w:themeColor="text1"/>
                      <w:sz w:val="20"/>
                      <w:szCs w:val="20"/>
                    </w:rPr>
                  </w:pPr>
                </w:p>
              </w:tc>
              <w:tc>
                <w:tcPr>
                  <w:tcW w:w="984" w:type="dxa"/>
                  <w:tcBorders>
                    <w:top w:val="single" w:sz="4" w:space="0" w:color="000000"/>
                    <w:left w:val="single" w:sz="4" w:space="0" w:color="000000"/>
                    <w:bottom w:val="single" w:sz="4" w:space="0" w:color="000000"/>
                    <w:right w:val="nil"/>
                  </w:tcBorders>
                </w:tcPr>
                <w:p w14:paraId="7324B2F9" w14:textId="77777777" w:rsidR="00814A12" w:rsidRPr="001F0ACF" w:rsidRDefault="00814A12" w:rsidP="00DF1129">
                  <w:pPr>
                    <w:ind w:left="-15"/>
                    <w:jc w:val="center"/>
                    <w:rPr>
                      <w:color w:val="000000" w:themeColor="text1"/>
                      <w:sz w:val="20"/>
                      <w:szCs w:val="20"/>
                    </w:rPr>
                  </w:pPr>
                </w:p>
              </w:tc>
              <w:tc>
                <w:tcPr>
                  <w:tcW w:w="872" w:type="dxa"/>
                  <w:tcBorders>
                    <w:top w:val="single" w:sz="4" w:space="0" w:color="000000"/>
                    <w:left w:val="single" w:sz="4" w:space="0" w:color="000000"/>
                    <w:bottom w:val="single" w:sz="4" w:space="0" w:color="000000"/>
                    <w:right w:val="nil"/>
                  </w:tcBorders>
                </w:tcPr>
                <w:p w14:paraId="61F30081" w14:textId="77777777" w:rsidR="00814A12" w:rsidRPr="001F0ACF" w:rsidRDefault="00814A12" w:rsidP="00DF1129">
                  <w:pPr>
                    <w:ind w:left="-15"/>
                    <w:jc w:val="center"/>
                    <w:rPr>
                      <w:color w:val="000000" w:themeColor="text1"/>
                      <w:sz w:val="20"/>
                      <w:szCs w:val="20"/>
                    </w:rPr>
                  </w:pPr>
                </w:p>
              </w:tc>
              <w:tc>
                <w:tcPr>
                  <w:tcW w:w="1125" w:type="dxa"/>
                  <w:tcBorders>
                    <w:top w:val="single" w:sz="4" w:space="0" w:color="000000"/>
                    <w:left w:val="single" w:sz="4" w:space="0" w:color="000000"/>
                    <w:bottom w:val="single" w:sz="4" w:space="0" w:color="000000"/>
                    <w:right w:val="single" w:sz="4" w:space="0" w:color="000000"/>
                  </w:tcBorders>
                </w:tcPr>
                <w:p w14:paraId="42672D0E" w14:textId="77777777" w:rsidR="00814A12" w:rsidRPr="001F0ACF" w:rsidRDefault="00814A12" w:rsidP="00DF1129">
                  <w:pPr>
                    <w:ind w:left="-15"/>
                    <w:jc w:val="center"/>
                    <w:rPr>
                      <w:color w:val="000000" w:themeColor="text1"/>
                      <w:sz w:val="20"/>
                      <w:szCs w:val="20"/>
                    </w:rPr>
                  </w:pPr>
                </w:p>
              </w:tc>
              <w:tc>
                <w:tcPr>
                  <w:tcW w:w="1545" w:type="dxa"/>
                  <w:tcBorders>
                    <w:top w:val="single" w:sz="4" w:space="0" w:color="000000"/>
                    <w:left w:val="single" w:sz="4" w:space="0" w:color="000000"/>
                    <w:bottom w:val="single" w:sz="4" w:space="0" w:color="000000"/>
                    <w:right w:val="single" w:sz="4" w:space="0" w:color="000000"/>
                  </w:tcBorders>
                </w:tcPr>
                <w:p w14:paraId="0B3843E9" w14:textId="77777777" w:rsidR="00814A12" w:rsidRPr="001F0ACF" w:rsidRDefault="00814A12" w:rsidP="00DF1129">
                  <w:pPr>
                    <w:ind w:left="-15"/>
                    <w:jc w:val="center"/>
                    <w:rPr>
                      <w:color w:val="000000" w:themeColor="text1"/>
                      <w:sz w:val="20"/>
                      <w:szCs w:val="20"/>
                    </w:rPr>
                  </w:pPr>
                </w:p>
              </w:tc>
            </w:tr>
          </w:tbl>
          <w:p w14:paraId="647AE0A7" w14:textId="77777777" w:rsidR="00814A12" w:rsidRPr="001F0ACF" w:rsidRDefault="00814A12" w:rsidP="00814A12">
            <w:pPr>
              <w:shd w:val="clear" w:color="auto" w:fill="FFFFFF"/>
              <w:tabs>
                <w:tab w:val="left" w:leader="underscore" w:pos="5222"/>
              </w:tabs>
              <w:jc w:val="both"/>
              <w:rPr>
                <w:sz w:val="20"/>
                <w:szCs w:val="20"/>
                <w:lang w:eastAsia="zh-CN"/>
              </w:rPr>
            </w:pPr>
            <w:r w:rsidRPr="001F0ACF">
              <w:rPr>
                <w:sz w:val="20"/>
                <w:szCs w:val="20"/>
                <w:lang w:eastAsia="zh-CN"/>
              </w:rPr>
              <w:t xml:space="preserve">     * </w:t>
            </w:r>
            <w:r w:rsidRPr="001F0ACF">
              <w:rPr>
                <w:i/>
                <w:iCs/>
                <w:sz w:val="20"/>
                <w:szCs w:val="20"/>
                <w:lang w:eastAsia="zh-CN"/>
              </w:rPr>
              <w:t>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14:paraId="59095988" w14:textId="77777777" w:rsidR="00814A12" w:rsidRPr="001F0ACF" w:rsidRDefault="00814A12" w:rsidP="00814A12">
            <w:pPr>
              <w:ind w:firstLine="567"/>
              <w:jc w:val="both"/>
              <w:rPr>
                <w:sz w:val="20"/>
                <w:szCs w:val="20"/>
              </w:rPr>
            </w:pPr>
            <w:r w:rsidRPr="001F0ACF">
              <w:rPr>
                <w:iCs/>
                <w:color w:val="000000"/>
                <w:sz w:val="20"/>
                <w:szCs w:val="20"/>
              </w:rPr>
              <w:t xml:space="preserve">Аналогічним є договір, який (кожен окремо або у сукупності)  містить у собі усі наступні роботи: </w:t>
            </w:r>
            <w:proofErr w:type="spellStart"/>
            <w:r w:rsidRPr="001F0ACF">
              <w:rPr>
                <w:iCs/>
                <w:color w:val="000000"/>
                <w:sz w:val="20"/>
                <w:szCs w:val="20"/>
              </w:rPr>
              <w:t>загальнобудівельні</w:t>
            </w:r>
            <w:proofErr w:type="spellEnd"/>
            <w:r w:rsidRPr="001F0ACF">
              <w:rPr>
                <w:iCs/>
                <w:color w:val="000000"/>
                <w:sz w:val="20"/>
                <w:szCs w:val="20"/>
              </w:rPr>
              <w:t xml:space="preserve"> роботи, електромонтажні роботи, які виконувались Учасником під час капітального ремонту, або реставрації, або нового будівництва, або  реконструкції, або поточного ремонту</w:t>
            </w:r>
            <w:r w:rsidRPr="001F0ACF">
              <w:rPr>
                <w:color w:val="000000"/>
                <w:sz w:val="20"/>
                <w:szCs w:val="20"/>
              </w:rPr>
              <w:t>.</w:t>
            </w:r>
          </w:p>
          <w:p w14:paraId="56BCA1B4" w14:textId="77777777" w:rsidR="00814A12" w:rsidRPr="001F0ACF" w:rsidRDefault="00814A12" w:rsidP="00814A12">
            <w:pPr>
              <w:shd w:val="clear" w:color="auto" w:fill="FFFFFF"/>
              <w:tabs>
                <w:tab w:val="left" w:leader="underscore" w:pos="5222"/>
              </w:tabs>
              <w:ind w:left="-15"/>
              <w:jc w:val="both"/>
              <w:rPr>
                <w:sz w:val="20"/>
                <w:szCs w:val="20"/>
              </w:rPr>
            </w:pPr>
            <w:r w:rsidRPr="001F0ACF">
              <w:rPr>
                <w:sz w:val="20"/>
                <w:szCs w:val="20"/>
              </w:rPr>
              <w:t xml:space="preserve">Договори (договір) мають бути виконаними в повному обсязі (якщо </w:t>
            </w:r>
            <w:r w:rsidRPr="001F0ACF">
              <w:rPr>
                <w:sz w:val="20"/>
                <w:szCs w:val="20"/>
                <w:lang w:eastAsia="zh-CN"/>
              </w:rPr>
              <w:t>Учасник був субпідрядником під час виконання робіт (частини робіт) за аналогічним (аналогічними) договором (договорами), то виконаним в повному обсязі має бути саме договір (договори) субпідряду).</w:t>
            </w:r>
          </w:p>
          <w:p w14:paraId="1E79976D" w14:textId="308DD6ED" w:rsidR="00E778C4" w:rsidRPr="00503674" w:rsidRDefault="00E778C4" w:rsidP="0071040E">
            <w:pPr>
              <w:jc w:val="both"/>
              <w:rPr>
                <w:sz w:val="20"/>
                <w:szCs w:val="20"/>
              </w:rPr>
            </w:pPr>
            <w:r w:rsidRPr="00503674">
              <w:rPr>
                <w:sz w:val="20"/>
                <w:szCs w:val="20"/>
              </w:rPr>
              <w:t xml:space="preserve">. </w:t>
            </w:r>
          </w:p>
          <w:p w14:paraId="39B2F0BD" w14:textId="67BB9997" w:rsidR="00E778C4" w:rsidRPr="00503674" w:rsidRDefault="00327C38" w:rsidP="0071040E">
            <w:pPr>
              <w:pStyle w:val="a5"/>
              <w:widowControl w:val="0"/>
              <w:spacing w:beforeLines="20" w:before="48" w:after="0" w:line="240" w:lineRule="auto"/>
              <w:ind w:left="0" w:right="113"/>
              <w:jc w:val="both"/>
              <w:rPr>
                <w:rFonts w:ascii="Times New Roman" w:hAnsi="Times New Roman"/>
                <w:sz w:val="20"/>
                <w:szCs w:val="20"/>
              </w:rPr>
            </w:pPr>
            <w:r w:rsidRPr="00503674">
              <w:rPr>
                <w:rFonts w:ascii="Times New Roman" w:hAnsi="Times New Roman"/>
                <w:b/>
                <w:sz w:val="20"/>
                <w:szCs w:val="20"/>
              </w:rPr>
              <w:t>2</w:t>
            </w:r>
            <w:r w:rsidR="00E778C4" w:rsidRPr="00503674">
              <w:rPr>
                <w:rFonts w:ascii="Times New Roman" w:hAnsi="Times New Roman"/>
                <w:b/>
                <w:sz w:val="20"/>
                <w:szCs w:val="20"/>
              </w:rPr>
              <w:t>.2.</w:t>
            </w:r>
            <w:r w:rsidR="00E778C4" w:rsidRPr="00503674">
              <w:rPr>
                <w:rFonts w:ascii="Times New Roman" w:hAnsi="Times New Roman"/>
                <w:sz w:val="20"/>
                <w:szCs w:val="20"/>
              </w:rPr>
              <w:t xml:space="preserve"> Копії  аналогічного договору</w:t>
            </w:r>
            <w:r w:rsidR="006859C4" w:rsidRPr="00503674">
              <w:rPr>
                <w:rFonts w:ascii="Times New Roman" w:hAnsi="Times New Roman"/>
                <w:sz w:val="20"/>
                <w:szCs w:val="20"/>
              </w:rPr>
              <w:t xml:space="preserve"> з усіма додатками</w:t>
            </w:r>
            <w:r w:rsidR="00E778C4" w:rsidRPr="00503674">
              <w:rPr>
                <w:rFonts w:ascii="Times New Roman" w:hAnsi="Times New Roman"/>
                <w:sz w:val="20"/>
                <w:szCs w:val="20"/>
              </w:rPr>
              <w:t>, що наведені у Довідці та копії документів, що підтверджують факт їх виконання (акт приймання-передачі);</w:t>
            </w:r>
          </w:p>
          <w:p w14:paraId="20CA48B8" w14:textId="560D7E53" w:rsidR="00E778C4" w:rsidRPr="00775FF5" w:rsidRDefault="00327C38" w:rsidP="0071040E">
            <w:pPr>
              <w:widowControl w:val="0"/>
              <w:spacing w:beforeLines="20" w:before="48"/>
              <w:ind w:right="113"/>
              <w:jc w:val="both"/>
              <w:rPr>
                <w:sz w:val="20"/>
                <w:szCs w:val="22"/>
              </w:rPr>
            </w:pPr>
            <w:r w:rsidRPr="00503674">
              <w:rPr>
                <w:rStyle w:val="10"/>
                <w:rFonts w:eastAsia="Calibri"/>
                <w:b/>
                <w:sz w:val="20"/>
                <w:szCs w:val="20"/>
              </w:rPr>
              <w:t>2</w:t>
            </w:r>
            <w:r w:rsidR="00E778C4" w:rsidRPr="00503674">
              <w:rPr>
                <w:rStyle w:val="10"/>
                <w:rFonts w:eastAsia="Calibri"/>
                <w:b/>
                <w:sz w:val="20"/>
                <w:szCs w:val="20"/>
              </w:rPr>
              <w:t>.3.</w:t>
            </w:r>
            <w:r w:rsidR="00E778C4" w:rsidRPr="00503674">
              <w:rPr>
                <w:rStyle w:val="10"/>
                <w:rFonts w:eastAsia="Calibri"/>
                <w:sz w:val="20"/>
                <w:szCs w:val="20"/>
              </w:rPr>
              <w:t xml:space="preserve"> Копії відгуку про виконання учасником аналогічних договорів (зазначених у довідці) у повному обсязі від замовників</w:t>
            </w:r>
            <w:r w:rsidR="00E778C4" w:rsidRPr="00775FF5">
              <w:rPr>
                <w:rStyle w:val="10"/>
                <w:rFonts w:eastAsia="Calibri"/>
                <w:sz w:val="20"/>
              </w:rPr>
              <w:t xml:space="preserve">. Відгук повинен містити інформацію про назву предмету закупівлі, номер і дату договору,  інформацію про виконання договору в повному обсязі </w:t>
            </w:r>
            <w:r w:rsidR="00E778C4" w:rsidRPr="00775FF5">
              <w:rPr>
                <w:sz w:val="20"/>
                <w:szCs w:val="22"/>
              </w:rPr>
              <w:t>та датований не раніше с</w:t>
            </w:r>
            <w:r w:rsidR="001D3E94">
              <w:rPr>
                <w:sz w:val="20"/>
                <w:szCs w:val="22"/>
              </w:rPr>
              <w:t>іч</w:t>
            </w:r>
            <w:r w:rsidR="00E778C4" w:rsidRPr="00775FF5">
              <w:rPr>
                <w:sz w:val="20"/>
                <w:szCs w:val="22"/>
              </w:rPr>
              <w:t>ня 202</w:t>
            </w:r>
            <w:r w:rsidR="001D3E94">
              <w:rPr>
                <w:sz w:val="20"/>
                <w:szCs w:val="22"/>
              </w:rPr>
              <w:t>3</w:t>
            </w:r>
            <w:r w:rsidR="00E778C4" w:rsidRPr="00775FF5">
              <w:rPr>
                <w:sz w:val="20"/>
                <w:szCs w:val="22"/>
              </w:rPr>
              <w:t xml:space="preserve"> року. </w:t>
            </w:r>
          </w:p>
          <w:p w14:paraId="0B548E51" w14:textId="77777777" w:rsidR="00E778C4" w:rsidRPr="00775FF5" w:rsidRDefault="00E778C4" w:rsidP="0071040E">
            <w:pPr>
              <w:pStyle w:val="6"/>
              <w:shd w:val="clear" w:color="auto" w:fill="auto"/>
              <w:spacing w:line="240" w:lineRule="auto"/>
              <w:ind w:left="317"/>
              <w:rPr>
                <w:rFonts w:cs="Times New Roman"/>
                <w:sz w:val="20"/>
                <w:szCs w:val="20"/>
              </w:rPr>
            </w:pPr>
          </w:p>
        </w:tc>
        <w:tc>
          <w:tcPr>
            <w:tcW w:w="2142" w:type="dxa"/>
          </w:tcPr>
          <w:p w14:paraId="4255BC61" w14:textId="77777777" w:rsidR="00607DD7" w:rsidRDefault="00607DD7" w:rsidP="0071040E">
            <w:pPr>
              <w:suppressAutoHyphens/>
              <w:ind w:right="22"/>
              <w:jc w:val="both"/>
              <w:rPr>
                <w:color w:val="000000"/>
                <w:sz w:val="20"/>
                <w:szCs w:val="20"/>
              </w:rPr>
            </w:pPr>
          </w:p>
          <w:p w14:paraId="45E47A3D" w14:textId="29B2DB5D" w:rsidR="00E778C4" w:rsidRPr="00775FF5" w:rsidRDefault="00E778C4" w:rsidP="0071040E">
            <w:pPr>
              <w:suppressAutoHyphens/>
              <w:ind w:right="22"/>
              <w:jc w:val="both"/>
              <w:rPr>
                <w:sz w:val="20"/>
                <w:szCs w:val="20"/>
              </w:rPr>
            </w:pPr>
            <w:r w:rsidRPr="00775FF5">
              <w:rPr>
                <w:color w:val="000000"/>
                <w:sz w:val="20"/>
                <w:szCs w:val="20"/>
              </w:rPr>
              <w:t xml:space="preserve">Учасник повинен володіти успішним досвідом виконання  договорів аналогічних по предмету закупівлі, в тому числі, мати документально підтверджений досвід  повного виконання </w:t>
            </w:r>
            <w:r w:rsidR="007159CA" w:rsidRPr="00775FF5">
              <w:rPr>
                <w:color w:val="000000"/>
                <w:sz w:val="20"/>
                <w:szCs w:val="20"/>
              </w:rPr>
              <w:t>не менше 1</w:t>
            </w:r>
            <w:r w:rsidRPr="00775FF5">
              <w:rPr>
                <w:color w:val="000000"/>
                <w:sz w:val="20"/>
                <w:szCs w:val="20"/>
              </w:rPr>
              <w:t xml:space="preserve"> аналогічних* договорів</w:t>
            </w:r>
            <w:r w:rsidRPr="00775FF5">
              <w:rPr>
                <w:sz w:val="20"/>
                <w:szCs w:val="20"/>
              </w:rPr>
              <w:t>.</w:t>
            </w:r>
          </w:p>
          <w:p w14:paraId="69325491" w14:textId="5E77B1DD" w:rsidR="00E778C4" w:rsidRPr="00775FF5" w:rsidRDefault="00144950" w:rsidP="00144950">
            <w:pPr>
              <w:widowControl w:val="0"/>
              <w:spacing w:beforeLines="20" w:before="48"/>
              <w:ind w:right="113"/>
              <w:contextualSpacing/>
              <w:jc w:val="both"/>
              <w:rPr>
                <w:sz w:val="20"/>
                <w:szCs w:val="20"/>
              </w:rPr>
            </w:pPr>
            <w:bookmarkStart w:id="0" w:name="_GoBack"/>
            <w:bookmarkEnd w:id="0"/>
            <w:r>
              <w:rPr>
                <w:rStyle w:val="10"/>
                <w:rFonts w:eastAsia="Calibri"/>
                <w:sz w:val="20"/>
                <w:szCs w:val="20"/>
                <w:lang w:eastAsia="uk-UA"/>
              </w:rPr>
              <w:t>.</w:t>
            </w:r>
            <w:r w:rsidR="00E778C4" w:rsidRPr="00775FF5">
              <w:rPr>
                <w:rStyle w:val="10"/>
                <w:rFonts w:eastAsia="Calibri"/>
                <w:sz w:val="16"/>
                <w:szCs w:val="20"/>
                <w:lang w:eastAsia="uk-UA"/>
              </w:rPr>
              <w:t xml:space="preserve"> </w:t>
            </w:r>
          </w:p>
        </w:tc>
      </w:tr>
    </w:tbl>
    <w:p w14:paraId="644BE5AE" w14:textId="77777777" w:rsidR="00B80F2F" w:rsidRDefault="00B80F2F" w:rsidP="00814A12">
      <w:pPr>
        <w:rPr>
          <w:b/>
          <w:sz w:val="20"/>
          <w:szCs w:val="20"/>
        </w:rPr>
      </w:pPr>
    </w:p>
    <w:sectPr w:rsidR="00B80F2F" w:rsidSect="00136D9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B43F7"/>
    <w:multiLevelType w:val="multilevel"/>
    <w:tmpl w:val="3A74EFD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C4"/>
    <w:rsid w:val="00053578"/>
    <w:rsid w:val="00077D0F"/>
    <w:rsid w:val="00136D9E"/>
    <w:rsid w:val="00144950"/>
    <w:rsid w:val="001906C1"/>
    <w:rsid w:val="001D3E94"/>
    <w:rsid w:val="002F5C0B"/>
    <w:rsid w:val="00327C38"/>
    <w:rsid w:val="004A7153"/>
    <w:rsid w:val="00503674"/>
    <w:rsid w:val="00542A64"/>
    <w:rsid w:val="00607DD7"/>
    <w:rsid w:val="006859C4"/>
    <w:rsid w:val="007159CA"/>
    <w:rsid w:val="00775FF5"/>
    <w:rsid w:val="007B589D"/>
    <w:rsid w:val="00814A12"/>
    <w:rsid w:val="009914EA"/>
    <w:rsid w:val="009B6DEB"/>
    <w:rsid w:val="00A03183"/>
    <w:rsid w:val="00B80F2F"/>
    <w:rsid w:val="00C56ABB"/>
    <w:rsid w:val="00CB0652"/>
    <w:rsid w:val="00DE3746"/>
    <w:rsid w:val="00E778C4"/>
    <w:rsid w:val="00EC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C4"/>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778C4"/>
    <w:rPr>
      <w:color w:val="0000FF"/>
      <w:u w:val="single"/>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4"/>
    <w:locked/>
    <w:rsid w:val="00E778C4"/>
    <w:rPr>
      <w:rFonts w:ascii="Times New Roman" w:eastAsia="Times New Roman" w:hAnsi="Times New Roman" w:cs="Times New Roman"/>
      <w:sz w:val="24"/>
      <w:szCs w:val="24"/>
      <w:lang w:eastAsia="ar-SA"/>
    </w:rPr>
  </w:style>
  <w:style w:type="paragraph" w:styleId="a4">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link w:val="1"/>
    <w:unhideWhenUsed/>
    <w:qFormat/>
    <w:rsid w:val="00E778C4"/>
    <w:pPr>
      <w:spacing w:after="0" w:line="240" w:lineRule="auto"/>
    </w:pPr>
    <w:rPr>
      <w:rFonts w:ascii="Times New Roman" w:eastAsia="Times New Roman" w:hAnsi="Times New Roman" w:cs="Times New Roman"/>
      <w:sz w:val="24"/>
      <w:szCs w:val="24"/>
      <w:lang w:eastAsia="ar-SA"/>
    </w:rPr>
  </w:style>
  <w:style w:type="character" w:customStyle="1" w:styleId="rvts0">
    <w:name w:val="rvts0"/>
    <w:rsid w:val="00E778C4"/>
    <w:rPr>
      <w:rFonts w:ascii="Times New Roman" w:hAnsi="Times New Roman" w:cs="Times New Roman" w:hint="default"/>
    </w:rPr>
  </w:style>
  <w:style w:type="character" w:customStyle="1" w:styleId="10">
    <w:name w:val="Основной текст1"/>
    <w:rsid w:val="00E778C4"/>
    <w:rPr>
      <w:rFonts w:ascii="Times New Roman" w:eastAsia="Times New Roman" w:hAnsi="Times New Roman"/>
      <w:color w:val="000000"/>
      <w:spacing w:val="0"/>
      <w:w w:val="100"/>
      <w:position w:val="0"/>
      <w:sz w:val="22"/>
      <w:szCs w:val="22"/>
      <w:shd w:val="clear" w:color="auto" w:fill="FFFFFF"/>
      <w:lang w:val="uk-UA"/>
    </w:rPr>
  </w:style>
  <w:style w:type="paragraph" w:styleId="a5">
    <w:name w:val="List Paragraph"/>
    <w:basedOn w:val="a"/>
    <w:link w:val="a6"/>
    <w:uiPriority w:val="34"/>
    <w:qFormat/>
    <w:rsid w:val="00E778C4"/>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E778C4"/>
    <w:rPr>
      <w:rFonts w:ascii="Calibri" w:eastAsia="Calibri" w:hAnsi="Calibri" w:cs="Times New Roman"/>
      <w:lang w:val="uk-UA"/>
    </w:rPr>
  </w:style>
  <w:style w:type="character" w:customStyle="1" w:styleId="a7">
    <w:name w:val="Основной текст_"/>
    <w:link w:val="6"/>
    <w:rsid w:val="00E778C4"/>
    <w:rPr>
      <w:rFonts w:ascii="Times New Roman" w:eastAsia="Times New Roman" w:hAnsi="Times New Roman"/>
      <w:shd w:val="clear" w:color="auto" w:fill="FFFFFF"/>
    </w:rPr>
  </w:style>
  <w:style w:type="paragraph" w:customStyle="1" w:styleId="6">
    <w:name w:val="Основной текст6"/>
    <w:basedOn w:val="a"/>
    <w:link w:val="a7"/>
    <w:rsid w:val="00E778C4"/>
    <w:pPr>
      <w:widowControl w:val="0"/>
      <w:shd w:val="clear" w:color="auto" w:fill="FFFFFF"/>
      <w:spacing w:line="264" w:lineRule="exact"/>
      <w:jc w:val="both"/>
    </w:pPr>
    <w:rPr>
      <w:rFonts w:cstheme="minorBidi"/>
      <w:sz w:val="22"/>
      <w:szCs w:val="22"/>
      <w:lang w:eastAsia="en-US"/>
    </w:rPr>
  </w:style>
  <w:style w:type="paragraph" w:customStyle="1" w:styleId="a8">
    <w:name w:val="a"/>
    <w:basedOn w:val="a"/>
    <w:qFormat/>
    <w:rsid w:val="00E778C4"/>
    <w:pPr>
      <w:spacing w:before="100" w:beforeAutospacing="1" w:after="100" w:afterAutospacing="1"/>
    </w:pPr>
    <w:rPr>
      <w:sz w:val="24"/>
      <w:szCs w:val="24"/>
    </w:rPr>
  </w:style>
  <w:style w:type="character" w:customStyle="1" w:styleId="rvts46">
    <w:name w:val="rvts46"/>
    <w:basedOn w:val="a0"/>
    <w:qFormat/>
    <w:rsid w:val="00E778C4"/>
  </w:style>
  <w:style w:type="paragraph" w:styleId="a9">
    <w:name w:val="Body Text"/>
    <w:basedOn w:val="a"/>
    <w:link w:val="aa"/>
    <w:unhideWhenUsed/>
    <w:rsid w:val="00E778C4"/>
    <w:pPr>
      <w:widowControl w:val="0"/>
      <w:shd w:val="clear" w:color="auto" w:fill="FFFFFF"/>
      <w:spacing w:after="60"/>
      <w:ind w:right="113"/>
      <w:jc w:val="both"/>
    </w:pPr>
    <w:rPr>
      <w:color w:val="000000"/>
      <w:sz w:val="20"/>
      <w:szCs w:val="20"/>
    </w:rPr>
  </w:style>
  <w:style w:type="character" w:customStyle="1" w:styleId="aa">
    <w:name w:val="Основной текст Знак"/>
    <w:basedOn w:val="a0"/>
    <w:link w:val="a9"/>
    <w:rsid w:val="00E778C4"/>
    <w:rPr>
      <w:rFonts w:ascii="Times New Roman" w:eastAsia="Times New Roman" w:hAnsi="Times New Roman" w:cs="Times New Roman"/>
      <w:color w:val="000000"/>
      <w:sz w:val="20"/>
      <w:szCs w:val="20"/>
      <w:shd w:val="clear" w:color="auto" w:fill="FFFFFF"/>
      <w:lang w:eastAsia="ru-RU"/>
    </w:rPr>
  </w:style>
  <w:style w:type="paragraph" w:customStyle="1" w:styleId="11">
    <w:name w:val="Без интервала1"/>
    <w:rsid w:val="00E778C4"/>
    <w:pPr>
      <w:suppressAutoHyphens/>
      <w:spacing w:after="0" w:line="240" w:lineRule="auto"/>
    </w:pPr>
    <w:rPr>
      <w:rFonts w:ascii="Calibri" w:eastAsia="Calibri" w:hAnsi="Calibri" w:cs="Times New Roman"/>
      <w:kern w:val="1"/>
      <w:lang w:val="uk-UA" w:eastAsia="zh-CN"/>
    </w:rPr>
  </w:style>
  <w:style w:type="paragraph" w:customStyle="1" w:styleId="LO-normal">
    <w:name w:val="LO-normal"/>
    <w:rsid w:val="00E778C4"/>
    <w:pPr>
      <w:suppressAutoHyphens/>
      <w:spacing w:after="0"/>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C4"/>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778C4"/>
    <w:rPr>
      <w:color w:val="0000FF"/>
      <w:u w:val="single"/>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4"/>
    <w:locked/>
    <w:rsid w:val="00E778C4"/>
    <w:rPr>
      <w:rFonts w:ascii="Times New Roman" w:eastAsia="Times New Roman" w:hAnsi="Times New Roman" w:cs="Times New Roman"/>
      <w:sz w:val="24"/>
      <w:szCs w:val="24"/>
      <w:lang w:eastAsia="ar-SA"/>
    </w:rPr>
  </w:style>
  <w:style w:type="paragraph" w:styleId="a4">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link w:val="1"/>
    <w:unhideWhenUsed/>
    <w:qFormat/>
    <w:rsid w:val="00E778C4"/>
    <w:pPr>
      <w:spacing w:after="0" w:line="240" w:lineRule="auto"/>
    </w:pPr>
    <w:rPr>
      <w:rFonts w:ascii="Times New Roman" w:eastAsia="Times New Roman" w:hAnsi="Times New Roman" w:cs="Times New Roman"/>
      <w:sz w:val="24"/>
      <w:szCs w:val="24"/>
      <w:lang w:eastAsia="ar-SA"/>
    </w:rPr>
  </w:style>
  <w:style w:type="character" w:customStyle="1" w:styleId="rvts0">
    <w:name w:val="rvts0"/>
    <w:rsid w:val="00E778C4"/>
    <w:rPr>
      <w:rFonts w:ascii="Times New Roman" w:hAnsi="Times New Roman" w:cs="Times New Roman" w:hint="default"/>
    </w:rPr>
  </w:style>
  <w:style w:type="character" w:customStyle="1" w:styleId="10">
    <w:name w:val="Основной текст1"/>
    <w:rsid w:val="00E778C4"/>
    <w:rPr>
      <w:rFonts w:ascii="Times New Roman" w:eastAsia="Times New Roman" w:hAnsi="Times New Roman"/>
      <w:color w:val="000000"/>
      <w:spacing w:val="0"/>
      <w:w w:val="100"/>
      <w:position w:val="0"/>
      <w:sz w:val="22"/>
      <w:szCs w:val="22"/>
      <w:shd w:val="clear" w:color="auto" w:fill="FFFFFF"/>
      <w:lang w:val="uk-UA"/>
    </w:rPr>
  </w:style>
  <w:style w:type="paragraph" w:styleId="a5">
    <w:name w:val="List Paragraph"/>
    <w:basedOn w:val="a"/>
    <w:link w:val="a6"/>
    <w:uiPriority w:val="34"/>
    <w:qFormat/>
    <w:rsid w:val="00E778C4"/>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E778C4"/>
    <w:rPr>
      <w:rFonts w:ascii="Calibri" w:eastAsia="Calibri" w:hAnsi="Calibri" w:cs="Times New Roman"/>
      <w:lang w:val="uk-UA"/>
    </w:rPr>
  </w:style>
  <w:style w:type="character" w:customStyle="1" w:styleId="a7">
    <w:name w:val="Основной текст_"/>
    <w:link w:val="6"/>
    <w:rsid w:val="00E778C4"/>
    <w:rPr>
      <w:rFonts w:ascii="Times New Roman" w:eastAsia="Times New Roman" w:hAnsi="Times New Roman"/>
      <w:shd w:val="clear" w:color="auto" w:fill="FFFFFF"/>
    </w:rPr>
  </w:style>
  <w:style w:type="paragraph" w:customStyle="1" w:styleId="6">
    <w:name w:val="Основной текст6"/>
    <w:basedOn w:val="a"/>
    <w:link w:val="a7"/>
    <w:rsid w:val="00E778C4"/>
    <w:pPr>
      <w:widowControl w:val="0"/>
      <w:shd w:val="clear" w:color="auto" w:fill="FFFFFF"/>
      <w:spacing w:line="264" w:lineRule="exact"/>
      <w:jc w:val="both"/>
    </w:pPr>
    <w:rPr>
      <w:rFonts w:cstheme="minorBidi"/>
      <w:sz w:val="22"/>
      <w:szCs w:val="22"/>
      <w:lang w:eastAsia="en-US"/>
    </w:rPr>
  </w:style>
  <w:style w:type="paragraph" w:customStyle="1" w:styleId="a8">
    <w:name w:val="a"/>
    <w:basedOn w:val="a"/>
    <w:qFormat/>
    <w:rsid w:val="00E778C4"/>
    <w:pPr>
      <w:spacing w:before="100" w:beforeAutospacing="1" w:after="100" w:afterAutospacing="1"/>
    </w:pPr>
    <w:rPr>
      <w:sz w:val="24"/>
      <w:szCs w:val="24"/>
    </w:rPr>
  </w:style>
  <w:style w:type="character" w:customStyle="1" w:styleId="rvts46">
    <w:name w:val="rvts46"/>
    <w:basedOn w:val="a0"/>
    <w:qFormat/>
    <w:rsid w:val="00E778C4"/>
  </w:style>
  <w:style w:type="paragraph" w:styleId="a9">
    <w:name w:val="Body Text"/>
    <w:basedOn w:val="a"/>
    <w:link w:val="aa"/>
    <w:unhideWhenUsed/>
    <w:rsid w:val="00E778C4"/>
    <w:pPr>
      <w:widowControl w:val="0"/>
      <w:shd w:val="clear" w:color="auto" w:fill="FFFFFF"/>
      <w:spacing w:after="60"/>
      <w:ind w:right="113"/>
      <w:jc w:val="both"/>
    </w:pPr>
    <w:rPr>
      <w:color w:val="000000"/>
      <w:sz w:val="20"/>
      <w:szCs w:val="20"/>
    </w:rPr>
  </w:style>
  <w:style w:type="character" w:customStyle="1" w:styleId="aa">
    <w:name w:val="Основной текст Знак"/>
    <w:basedOn w:val="a0"/>
    <w:link w:val="a9"/>
    <w:rsid w:val="00E778C4"/>
    <w:rPr>
      <w:rFonts w:ascii="Times New Roman" w:eastAsia="Times New Roman" w:hAnsi="Times New Roman" w:cs="Times New Roman"/>
      <w:color w:val="000000"/>
      <w:sz w:val="20"/>
      <w:szCs w:val="20"/>
      <w:shd w:val="clear" w:color="auto" w:fill="FFFFFF"/>
      <w:lang w:eastAsia="ru-RU"/>
    </w:rPr>
  </w:style>
  <w:style w:type="paragraph" w:customStyle="1" w:styleId="11">
    <w:name w:val="Без интервала1"/>
    <w:rsid w:val="00E778C4"/>
    <w:pPr>
      <w:suppressAutoHyphens/>
      <w:spacing w:after="0" w:line="240" w:lineRule="auto"/>
    </w:pPr>
    <w:rPr>
      <w:rFonts w:ascii="Calibri" w:eastAsia="Calibri" w:hAnsi="Calibri" w:cs="Times New Roman"/>
      <w:kern w:val="1"/>
      <w:lang w:val="uk-UA" w:eastAsia="zh-CN"/>
    </w:rPr>
  </w:style>
  <w:style w:type="paragraph" w:customStyle="1" w:styleId="LO-normal">
    <w:name w:val="LO-normal"/>
    <w:rsid w:val="00E778C4"/>
    <w:pPr>
      <w:suppressAutoHyphens/>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BUCH-8SCH</cp:lastModifiedBy>
  <cp:revision>28</cp:revision>
  <dcterms:created xsi:type="dcterms:W3CDTF">2021-09-25T22:12:00Z</dcterms:created>
  <dcterms:modified xsi:type="dcterms:W3CDTF">2023-03-16T12:00:00Z</dcterms:modified>
</cp:coreProperties>
</file>