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0D671A">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0D671A" w:rsidRPr="00F100E0">
        <w:rPr>
          <w:b/>
          <w:sz w:val="20"/>
          <w:szCs w:val="20"/>
          <w:lang w:val="uk-UA"/>
        </w:rPr>
        <w:t xml:space="preserve">Реконструкція системи реєстрації перерв електропостачання ПС 35/10 </w:t>
      </w:r>
      <w:r w:rsidR="00D81BA5">
        <w:rPr>
          <w:b/>
          <w:bCs/>
          <w:spacing w:val="-3"/>
          <w:sz w:val="20"/>
          <w:szCs w:val="20"/>
          <w:lang w:val="uk-UA"/>
        </w:rPr>
        <w:t>"ЧПЗ</w:t>
      </w:r>
      <w:r w:rsidR="000D671A" w:rsidRPr="00F100E0">
        <w:rPr>
          <w:b/>
          <w:bCs/>
          <w:spacing w:val="-3"/>
          <w:sz w:val="20"/>
          <w:szCs w:val="20"/>
          <w:lang w:val="uk-UA"/>
        </w:rPr>
        <w:t xml:space="preserve">" </w:t>
      </w:r>
      <w:r w:rsidR="000D671A" w:rsidRPr="00F100E0">
        <w:rPr>
          <w:b/>
          <w:sz w:val="20"/>
          <w:szCs w:val="20"/>
          <w:lang w:val="uk-UA"/>
        </w:rPr>
        <w:t>Золотоніської філії</w:t>
      </w:r>
      <w:r w:rsidR="000D671A" w:rsidRPr="00C34B62">
        <w:rPr>
          <w:b/>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8777E3">
        <w:rPr>
          <w:color w:val="548DD4" w:themeColor="text2" w:themeTint="99"/>
          <w:sz w:val="20"/>
          <w:szCs w:val="20"/>
          <w:lang w:val="uk-UA"/>
        </w:rPr>
        <w:t>19774</w:t>
      </w:r>
      <w:r w:rsidR="003313C1" w:rsidRPr="00F100E0">
        <w:rPr>
          <w:color w:val="548DD4" w:themeColor="text2" w:themeTint="99"/>
          <w:sz w:val="20"/>
          <w:szCs w:val="20"/>
          <w:lang w:val="uk-UA"/>
        </w:rPr>
        <w:t xml:space="preserve">, Черкаська область, Золотоніський район, за місцем знаходження ПС </w:t>
      </w:r>
      <w:r w:rsidR="00D81BA5">
        <w:rPr>
          <w:bCs/>
          <w:color w:val="548DD4" w:themeColor="text2" w:themeTint="99"/>
          <w:spacing w:val="-3"/>
          <w:sz w:val="20"/>
          <w:szCs w:val="20"/>
          <w:lang w:val="uk-UA"/>
        </w:rPr>
        <w:t>"ЧПЗ</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D81BA5"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6C" w:rsidRDefault="00E1086C" w:rsidP="00C327FF">
      <w:r>
        <w:separator/>
      </w:r>
    </w:p>
  </w:endnote>
  <w:endnote w:type="continuationSeparator" w:id="1">
    <w:p w:rsidR="00E1086C" w:rsidRDefault="00E1086C"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6C" w:rsidRDefault="00E1086C" w:rsidP="00C327FF">
      <w:r>
        <w:separator/>
      </w:r>
    </w:p>
  </w:footnote>
  <w:footnote w:type="continuationSeparator" w:id="1">
    <w:p w:rsidR="00E1086C" w:rsidRDefault="00E1086C"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D671A"/>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244A"/>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048"/>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57BE"/>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7E3"/>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2C43"/>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1BA5"/>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08E9"/>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086C"/>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5</cp:revision>
  <cp:lastPrinted>2023-01-12T09:39:00Z</cp:lastPrinted>
  <dcterms:created xsi:type="dcterms:W3CDTF">2023-05-25T11:29:00Z</dcterms:created>
  <dcterms:modified xsi:type="dcterms:W3CDTF">2023-05-26T08:54:00Z</dcterms:modified>
</cp:coreProperties>
</file>