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84" w:rsidRDefault="00161165" w:rsidP="003D27CD">
      <w:pPr>
        <w:tabs>
          <w:tab w:val="left" w:pos="540"/>
        </w:tabs>
        <w:spacing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</w:t>
      </w:r>
    </w:p>
    <w:p w:rsidR="003D27CD" w:rsidRPr="003D27CD" w:rsidRDefault="003D27CD" w:rsidP="006D2BC4">
      <w:pPr>
        <w:tabs>
          <w:tab w:val="left" w:pos="54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</w:t>
      </w:r>
    </w:p>
    <w:p w:rsidR="00A553CB" w:rsidRPr="00A553CB" w:rsidRDefault="00A553CB" w:rsidP="00A553CB">
      <w:pPr>
        <w:spacing w:line="240" w:lineRule="auto"/>
        <w:jc w:val="right"/>
        <w:rPr>
          <w:sz w:val="24"/>
          <w:szCs w:val="24"/>
        </w:rPr>
      </w:pP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ДОДАТОК №2</w:t>
      </w: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val="uk-UA" w:eastAsia="en-US"/>
        </w:rPr>
        <w:t>до тендерної документації</w:t>
      </w:r>
    </w:p>
    <w:p w:rsidR="00A553CB" w:rsidRPr="00A553CB" w:rsidRDefault="00A553CB" w:rsidP="00A553CB">
      <w:pPr>
        <w:suppressAutoHyphens w:val="0"/>
        <w:spacing w:line="240" w:lineRule="auto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keepNext/>
        <w:suppressAutoHyphens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  <w:t>ІНФОРМАЦІЯ  ПРО НЕОБХІДНІ ТЕХНІЧНІ,</w:t>
      </w:r>
    </w:p>
    <w:p w:rsidR="00A553CB" w:rsidRPr="00A553CB" w:rsidRDefault="00A553CB" w:rsidP="00A553CB">
      <w:pPr>
        <w:keepNext/>
        <w:suppressAutoHyphens w:val="0"/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Cs w:val="20"/>
          <w:lang w:val="uk-UA" w:eastAsia="en-US"/>
        </w:rPr>
        <w:t xml:space="preserve"> ЯКІСНІ ТА КІЛЬКІСНІ ХАРАКТЕРИСТИКИ ПРЕДМЕТА  ЗАКУПІВЛІ:</w:t>
      </w:r>
    </w:p>
    <w:p w:rsidR="00A553CB" w:rsidRPr="00A553CB" w:rsidRDefault="00A553CB" w:rsidP="00A553CB">
      <w:pPr>
        <w:suppressAutoHyphens w:val="0"/>
        <w:spacing w:before="120" w:line="240" w:lineRule="auto"/>
        <w:jc w:val="center"/>
        <w:rPr>
          <w:rFonts w:ascii="Times New Roman" w:eastAsia="Calibri" w:hAnsi="Times New Roman" w:cs="Times New Roman"/>
          <w:bCs/>
          <w:i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lang w:val="uk-UA" w:eastAsia="en-US"/>
        </w:rPr>
        <w:t xml:space="preserve">Лікарські засоби, </w:t>
      </w:r>
      <w:r w:rsidRPr="00A553CB">
        <w:rPr>
          <w:rFonts w:ascii="Times New Roman" w:eastAsia="Calibri" w:hAnsi="Times New Roman" w:cs="Times New Roman"/>
          <w:i/>
          <w:lang w:val="uk-UA" w:eastAsia="en-US"/>
        </w:rPr>
        <w:t>код за Єдиним закупівельним словником ДК 021:2015: 33600000-6  Фармацевтична продукція</w:t>
      </w:r>
    </w:p>
    <w:p w:rsidR="00A553CB" w:rsidRPr="00A553CB" w:rsidRDefault="00A553CB" w:rsidP="00A553CB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color w:val="auto"/>
          <w:sz w:val="21"/>
          <w:szCs w:val="21"/>
          <w:lang w:val="uk-UA" w:eastAsia="en-US"/>
        </w:rPr>
        <w:t>1. МЕДИКО-ТЕХНІЧНІ ВИМОГИ:</w:t>
      </w:r>
    </w:p>
    <w:p w:rsidR="00A553CB" w:rsidRPr="00A553CB" w:rsidRDefault="00A553CB" w:rsidP="00A553C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Cs/>
          <w:color w:val="auto"/>
          <w:sz w:val="21"/>
          <w:szCs w:val="21"/>
          <w:lang w:val="uk-UA" w:eastAsia="en-US"/>
        </w:rPr>
        <w:t>1.1</w:t>
      </w:r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. Учасник визначає ціни на товари, які він пропонує поставити за Договором, з урахуванням усіх своїх витрат на доставку, страхування товару, податків і зборів, що сплачуються або мають бути сплачені, усіх інших витрат.</w:t>
      </w:r>
    </w:p>
    <w:p w:rsidR="00A553CB" w:rsidRPr="00A553CB" w:rsidRDefault="00A553CB" w:rsidP="00A553CB">
      <w:pPr>
        <w:suppressAutoHyphens w:val="0"/>
        <w:spacing w:line="240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1.2. </w:t>
      </w:r>
      <w:proofErr w:type="spellStart"/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>Медико-технічні</w:t>
      </w:r>
      <w:proofErr w:type="spellEnd"/>
      <w:r w:rsidRPr="00A553CB">
        <w:rPr>
          <w:rFonts w:ascii="Times New Roman" w:eastAsia="Calibri" w:hAnsi="Times New Roman" w:cs="Times New Roman"/>
          <w:bCs/>
          <w:color w:val="auto"/>
          <w:sz w:val="24"/>
          <w:szCs w:val="24"/>
          <w:lang w:val="uk-UA" w:eastAsia="en-US"/>
        </w:rPr>
        <w:t xml:space="preserve"> вимоги до предмета закупівлі представлені в таблиці 1.1. </w:t>
      </w: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  <w:t>Таблиця 1.1.</w:t>
      </w:r>
    </w:p>
    <w:p w:rsidR="00A553CB" w:rsidRPr="00A553CB" w:rsidRDefault="00A553CB" w:rsidP="00A553CB">
      <w:pPr>
        <w:suppressAutoHyphens w:val="0"/>
        <w:spacing w:line="240" w:lineRule="auto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297"/>
        <w:gridCol w:w="2409"/>
        <w:gridCol w:w="1843"/>
        <w:gridCol w:w="1701"/>
      </w:tblGrid>
      <w:tr w:rsidR="00A553CB" w:rsidRPr="00A553CB" w:rsidTr="0022362E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Торгівельнаназва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  <w:lang w:eastAsia="en-US"/>
              </w:rPr>
              <w:t>Міжнароднанепатентовананазва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Од</w:t>
            </w:r>
            <w:proofErr w:type="gramStart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.в</w:t>
            </w:r>
            <w:proofErr w:type="gramEnd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им</w:t>
            </w:r>
            <w:proofErr w:type="spellEnd"/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lang w:eastAsia="en-US"/>
              </w:rPr>
              <w:t>К-</w:t>
            </w:r>
            <w:proofErr w:type="spellStart"/>
            <w:r w:rsidRPr="00A553CB">
              <w:rPr>
                <w:rFonts w:ascii="Times New Roman" w:eastAsia="Calibri" w:hAnsi="Times New Roman" w:cs="Times New Roman"/>
                <w:lang w:eastAsia="en-US"/>
              </w:rPr>
              <w:t>сть</w:t>
            </w:r>
            <w:proofErr w:type="spellEnd"/>
          </w:p>
        </w:tc>
      </w:tr>
      <w:tr w:rsidR="00A553CB" w:rsidRPr="00A553CB" w:rsidTr="0022362E">
        <w:trPr>
          <w:trHeight w:val="6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lang w:val="uk-UA" w:eastAsia="en-US"/>
              </w:rPr>
              <w:t>6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Азалептол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00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Clozapine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Амітриптилін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25мг №50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Amitriptyline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140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4C19E1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Амлодипін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табл.10мг №30</w:t>
            </w:r>
            <w:r w:rsidR="00A553CB"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Amlodipine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80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Барбовал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капс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 тв.№30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>Barbiturates in combination with other drugs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30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Бензонал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табл.100мг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Benzobarbital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Берліприл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-10 табл.10мг №30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28634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Б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ісопролол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5мг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Bisoprolol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90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Клопіксол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Депо р-н д/ін. 200мг/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 1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 №10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4C19E1" w:rsidP="00A553CB">
            <w:pPr>
              <w:suppressAutoHyphens w:val="0"/>
              <w:spacing w:after="200"/>
              <w:rPr>
                <w:rFonts w:eastAsia="Calibri"/>
                <w:color w:val="auto"/>
                <w:lang w:val="en-US" w:eastAsia="en-US"/>
              </w:rPr>
            </w:pPr>
            <w:proofErr w:type="spellStart"/>
            <w:r>
              <w:rPr>
                <w:rFonts w:eastAsia="Calibri"/>
                <w:color w:val="auto"/>
                <w:lang w:val="en-US" w:eastAsia="en-US"/>
              </w:rPr>
              <w:t>Zuclopenthixol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12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Галоприл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1,5мг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Haloperidol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Галоприл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Форте табл. 5мг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Haloperidol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8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Діаглізид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М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табл.60мг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 w:line="300" w:lineRule="atLeast"/>
              <w:textAlignment w:val="baseline"/>
              <w:rPr>
                <w:rFonts w:eastAsia="Calibri"/>
                <w:sz w:val="21"/>
                <w:szCs w:val="21"/>
                <w:lang w:eastAsia="en-US"/>
              </w:rPr>
            </w:pPr>
            <w:r w:rsidRPr="00A553CB">
              <w:rPr>
                <w:rFonts w:eastAsia="Calibri"/>
                <w:sz w:val="21"/>
                <w:szCs w:val="21"/>
                <w:lang w:eastAsia="en-US"/>
              </w:rPr>
              <w:br/>
            </w:r>
            <w:proofErr w:type="spellStart"/>
            <w:r w:rsidRPr="00A553CB">
              <w:rPr>
                <w:rFonts w:eastAsia="Calibri"/>
                <w:sz w:val="21"/>
                <w:szCs w:val="21"/>
                <w:lang w:eastAsia="en-US"/>
              </w:rPr>
              <w:t>Gliclazide</w:t>
            </w:r>
            <w:proofErr w:type="spellEnd"/>
          </w:p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lastRenderedPageBreak/>
              <w:t>12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Метформін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.в</w:t>
            </w:r>
            <w:proofErr w:type="spellEnd"/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/о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1000 мг №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6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Metformin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Еналапр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і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л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5мг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пак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Ена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лапріл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10мг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</w:t>
            </w: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Еналапріл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табл.20 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highlight w:val="yellow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Enalapril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Каптопрес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-Д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Captopril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and</w:t>
            </w:r>
            <w:proofErr w:type="spellEnd"/>
            <w:r w:rsidR="004C19E1">
              <w:rPr>
                <w:rFonts w:eastAsia="Calibri"/>
                <w:sz w:val="21"/>
                <w:szCs w:val="21"/>
                <w:shd w:val="clear" w:color="auto" w:fill="FDFEFD"/>
                <w:lang w:val="en-US" w:eastAsia="en-US"/>
              </w:rPr>
              <w:t xml:space="preserve"> </w:t>
            </w: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diuretics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7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Каптоприл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Captopril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7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18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Карбамазепін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00м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Carbamazepine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50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19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Клопіксол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/о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2мг №100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Zuclopenthixol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2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5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20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Лі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</w:t>
            </w:r>
            <w:proofErr w:type="spellEnd"/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і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л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табл.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10мг №30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Lisinopril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60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21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Сонапакс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10мг №60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Thioridazine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40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22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Трифтазин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г №50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Trifluoperazine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3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23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Труксал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25мг №100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Chlorprothixene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4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en-US" w:eastAsia="en-US"/>
              </w:rPr>
              <w:t>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Аміназин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табл. </w:t>
            </w:r>
            <w:proofErr w:type="gram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в/о</w:t>
            </w:r>
            <w:proofErr w:type="gram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25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 №20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Chlorpromazine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90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val="uk-UA" w:eastAsia="en-US"/>
              </w:rPr>
              <w:t>25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Атенолол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 </w:t>
            </w:r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Здоров’я</w:t>
            </w: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табл. 50мг №20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</w:pPr>
            <w:proofErr w:type="spellStart"/>
            <w:r w:rsidRPr="00A553CB">
              <w:rPr>
                <w:rFonts w:eastAsia="Calibri"/>
                <w:sz w:val="21"/>
                <w:szCs w:val="21"/>
                <w:shd w:val="clear" w:color="auto" w:fill="FDFEFD"/>
                <w:lang w:eastAsia="en-US"/>
              </w:rPr>
              <w:t>Atenolol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упак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100</w:t>
            </w:r>
          </w:p>
        </w:tc>
      </w:tr>
      <w:tr w:rsidR="00A553CB" w:rsidRPr="00A553CB" w:rsidTr="0022362E">
        <w:trPr>
          <w:trHeight w:val="3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bCs/>
                <w:lang w:val="uk-UA" w:eastAsia="en-US"/>
              </w:rPr>
            </w:pPr>
            <w:r w:rsidRPr="00A553CB">
              <w:rPr>
                <w:rFonts w:ascii="Times New Roman" w:eastAsia="Calibri" w:hAnsi="Times New Roman" w:cs="Times New Roman"/>
                <w:bCs/>
                <w:lang w:eastAsia="en-US"/>
              </w:rPr>
              <w:t>26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Фармадипін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крап. орал.2%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фл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. 25 </w:t>
            </w: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мл</w:t>
            </w:r>
            <w:proofErr w:type="spellEnd"/>
            <w:r w:rsidRPr="00A553CB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rPr>
                <w:rFonts w:eastAsia="Calibri"/>
                <w:color w:val="auto"/>
                <w:lang w:val="en-US" w:eastAsia="en-US"/>
              </w:rPr>
            </w:pPr>
            <w:proofErr w:type="spellStart"/>
            <w:r w:rsidRPr="00A553CB">
              <w:rPr>
                <w:rFonts w:eastAsia="Calibri"/>
                <w:color w:val="auto"/>
                <w:lang w:val="en-US" w:eastAsia="en-US"/>
              </w:rPr>
              <w:t>Nifedipine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spellStart"/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фл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3CB" w:rsidRPr="00A553CB" w:rsidRDefault="00A553CB" w:rsidP="00A553CB">
            <w:pPr>
              <w:suppressAutoHyphens w:val="0"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A553CB"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</w:tr>
    </w:tbl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suppressAutoHyphens w:val="0"/>
        <w:spacing w:line="240" w:lineRule="auto"/>
        <w:jc w:val="right"/>
        <w:rPr>
          <w:rFonts w:ascii="Times New Roman" w:eastAsia="Calibri" w:hAnsi="Times New Roman" w:cs="Times New Roman"/>
          <w:b/>
          <w:bCs/>
          <w:i/>
          <w:color w:val="auto"/>
          <w:sz w:val="21"/>
          <w:szCs w:val="21"/>
          <w:lang w:val="uk-UA" w:eastAsia="en-US"/>
        </w:rPr>
      </w:pPr>
    </w:p>
    <w:p w:rsidR="00A553CB" w:rsidRPr="00A553CB" w:rsidRDefault="00A553CB" w:rsidP="00A55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lang w:val="uk-UA" w:eastAsia="en-US"/>
        </w:rPr>
      </w:pPr>
      <w:proofErr w:type="spellStart"/>
      <w:r w:rsidRPr="00A553CB">
        <w:rPr>
          <w:rFonts w:ascii="Times New Roman" w:eastAsia="Calibri" w:hAnsi="Times New Roman" w:cs="Times New Roman"/>
          <w:b/>
          <w:color w:val="auto"/>
          <w:lang w:val="uk-UA" w:eastAsia="en-US"/>
        </w:rPr>
        <w:t>Медико-технічні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lang w:val="uk-UA" w:eastAsia="en-US"/>
        </w:rPr>
        <w:t xml:space="preserve"> вимоги до предмета закупівлі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u w:val="single"/>
          <w:lang w:eastAsia="uk-UA"/>
        </w:rPr>
        <w:t>Примітка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u w:val="single"/>
          <w:lang w:eastAsia="uk-UA"/>
        </w:rPr>
        <w:t xml:space="preserve">: </w:t>
      </w:r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коли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описі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предмета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містяться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посилання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конкретні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торговельну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марку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чи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фірму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патент,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конструкцію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тип предмета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джерело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його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походження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виробника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то разом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цим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враховувати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вираз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«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». 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Всі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торгові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назви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застосовуються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тендерній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метою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лаконічного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зрозумілого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для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фармацевтичних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фахівців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опису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предмету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мають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увазі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вираз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«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діючою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речовиною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».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proofErr w:type="spellStart"/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Еквівалентом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розумінні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даної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речовина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міжнародна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назва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),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інші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характеристики абсолютно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співпадають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біологічними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токсикологічними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фармацевтичними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терапевтичними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властивостями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характеристики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товару на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відбува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ється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заміна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повинні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діючих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стандартів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щодо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даних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товарів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Запропонований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всім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нижче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наведеним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бути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біодоступним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біоеквівалентним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порівнянні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засобом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.</w:t>
      </w:r>
    </w:p>
    <w:p w:rsidR="00A553CB" w:rsidRPr="00A553CB" w:rsidRDefault="00A553CB" w:rsidP="00A553CB">
      <w:pPr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i/>
          <w:iCs/>
          <w:color w:val="auto"/>
          <w:lang w:eastAsia="uk-UA"/>
        </w:rPr>
      </w:pPr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якщо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пропозицією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учасника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передбачаються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еквівалентні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до тих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лікарських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учаснику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необхідно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додатково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надати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порівняльну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таблицю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пропозиція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не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відповідає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медико - </w:t>
      </w:r>
      <w:proofErr w:type="spellStart"/>
      <w:proofErr w:type="gram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техн</w:t>
      </w:r>
      <w:proofErr w:type="gram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ічним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підлягає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відхиленню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як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невідповідна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вимогам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b/>
          <w:i/>
          <w:iCs/>
          <w:color w:val="auto"/>
          <w:lang w:eastAsia="uk-UA"/>
        </w:rPr>
        <w:t>.</w:t>
      </w:r>
    </w:p>
    <w:p w:rsidR="00A553CB" w:rsidRPr="00A553CB" w:rsidRDefault="00A553CB" w:rsidP="00A553CB">
      <w:pPr>
        <w:tabs>
          <w:tab w:val="left" w:pos="284"/>
        </w:tabs>
        <w:suppressAutoHyphens w:val="0"/>
        <w:spacing w:before="120" w:line="240" w:lineRule="auto"/>
        <w:ind w:right="-2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numPr>
          <w:ilvl w:val="0"/>
          <w:numId w:val="18"/>
        </w:numPr>
        <w:tabs>
          <w:tab w:val="left" w:pos="284"/>
          <w:tab w:val="left" w:pos="567"/>
        </w:tabs>
        <w:suppressAutoHyphens w:val="0"/>
        <w:spacing w:before="120" w:after="200" w:line="240" w:lineRule="auto"/>
        <w:ind w:right="425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lastRenderedPageBreak/>
        <w:t xml:space="preserve">Інформація про відповідність запропонованих учасником товарів </w:t>
      </w:r>
      <w:proofErr w:type="spellStart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медико-технічним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та якісним вимогам тендерної документації має бути підтверджена </w:t>
      </w:r>
      <w:proofErr w:type="spellStart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докуметами</w:t>
      </w:r>
      <w:proofErr w:type="spellEnd"/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 зазначеними нижче і завантажена Учасниками у складі своєї тендерної пропозиції:</w:t>
      </w:r>
    </w:p>
    <w:p w:rsidR="00A553CB" w:rsidRPr="00A553CB" w:rsidRDefault="00A553CB" w:rsidP="00A553CB">
      <w:pPr>
        <w:tabs>
          <w:tab w:val="left" w:pos="284"/>
          <w:tab w:val="left" w:pos="567"/>
        </w:tabs>
        <w:suppressAutoHyphens w:val="0"/>
        <w:spacing w:before="120" w:line="240" w:lineRule="auto"/>
        <w:ind w:right="425" w:hanging="9"/>
        <w:jc w:val="both"/>
        <w:rPr>
          <w:rFonts w:ascii="Times New Roman" w:eastAsia="Calibri" w:hAnsi="Times New Roman" w:cs="Times New Roman"/>
          <w:b/>
          <w:color w:val="auto"/>
          <w:lang w:val="uk-UA" w:eastAsia="en-US"/>
        </w:rPr>
      </w:pPr>
    </w:p>
    <w:p w:rsidR="00A553CB" w:rsidRPr="00A553CB" w:rsidRDefault="00A553CB" w:rsidP="00A553CB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before="120" w:after="200" w:line="240" w:lineRule="auto"/>
        <w:ind w:left="0" w:hanging="9"/>
        <w:contextualSpacing/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Учасник у складі тендерної пропозиції повинен надати </w:t>
      </w:r>
      <w:r w:rsidRPr="00A553CB">
        <w:rPr>
          <w:rFonts w:ascii="Times New Roman" w:eastAsia="Calibri" w:hAnsi="Times New Roman" w:cs="Times New Roman"/>
          <w:b/>
          <w:color w:val="auto"/>
          <w:spacing w:val="-3"/>
          <w:sz w:val="24"/>
          <w:szCs w:val="24"/>
          <w:lang w:val="uk-UA" w:eastAsia="en-US"/>
        </w:rPr>
        <w:t xml:space="preserve">копію ліцензії на право торгівлі  лікарськими засобами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>або ліцензії на виробництво лікарських засобів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, якщо учасник є виробником запропонованого товару,</w:t>
      </w:r>
      <w:r w:rsidRPr="00A553CB"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  <w:t>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органів.</w:t>
      </w:r>
    </w:p>
    <w:p w:rsidR="00A553CB" w:rsidRPr="00A553CB" w:rsidRDefault="00A553CB" w:rsidP="00A553CB">
      <w:pPr>
        <w:widowControl w:val="0"/>
        <w:numPr>
          <w:ilvl w:val="0"/>
          <w:numId w:val="19"/>
        </w:numPr>
        <w:tabs>
          <w:tab w:val="left" w:pos="709"/>
          <w:tab w:val="left" w:pos="851"/>
        </w:tabs>
        <w:suppressAutoHyphens w:val="0"/>
        <w:autoSpaceDE w:val="0"/>
        <w:autoSpaceDN w:val="0"/>
        <w:spacing w:before="120" w:after="200" w:line="240" w:lineRule="auto"/>
        <w:ind w:left="0" w:hanging="9"/>
        <w:contextualSpacing/>
        <w:jc w:val="both"/>
        <w:rPr>
          <w:rFonts w:ascii="Times New Roman" w:eastAsia="Calibri" w:hAnsi="Times New Roman" w:cs="Times New Roman"/>
          <w:color w:val="auto"/>
          <w:spacing w:val="-2"/>
          <w:sz w:val="24"/>
          <w:szCs w:val="24"/>
          <w:lang w:val="uk-UA" w:eastAsia="en-US"/>
        </w:rPr>
      </w:pP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Учасники повинні пропонувати лише готові лікарські засоби (лікарські препарати, ліки, медикаменти) - дозовані лікарські засоби у вигляді та стані, в якому їх застосовують, що пройшли всі стадії виробництва (виготовлення), включаючи остаточне пакування.</w:t>
      </w:r>
    </w:p>
    <w:p w:rsidR="00A553CB" w:rsidRPr="00A553CB" w:rsidRDefault="00A553CB" w:rsidP="00A553CB">
      <w:pPr>
        <w:tabs>
          <w:tab w:val="left" w:pos="851"/>
        </w:tabs>
        <w:suppressAutoHyphens w:val="0"/>
        <w:spacing w:before="12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2.2.1.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Запропоновані Учасником лікарські засоби, повинні мати державну реєстрацію в Україні </w:t>
      </w:r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val="uk-UA" w:eastAsia="uk-UA"/>
        </w:rPr>
        <w:t>(завірені належним чином копії реєстраційних посвідчень надаються на кожну окрему партію товару при доставці).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contextualSpacing/>
        <w:jc w:val="both"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</w:pP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 повинна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встановленим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/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зареєстрованим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діючим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нормативним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актам чинного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законодавства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державним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стандартам (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техн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ічним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умовам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підтверджуватися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сертифікатами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сертифікатами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(для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імпортованих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-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імпортером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(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особою,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представляє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території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України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),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або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іншими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документами,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засвідчують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передбаченими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законодавством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(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завірені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належним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чином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копії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надаються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кожну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окрему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партію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товару при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здійсненні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його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 xml:space="preserve"> поставки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Замовнику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en-US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firstLine="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</w:pP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При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поставці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 до кожного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буде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реалізуватися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повинна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додаватися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інструкція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яка повинна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містити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загальну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характеристику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хімічну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основні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фізико-хімічні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склад);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відомості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про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фармакологічні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;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показання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для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протипоказання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взаємодію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лікарськими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засобами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способи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застосування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побічну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запобіжні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заходи;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форми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строки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зберігання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умови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тощо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; товар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іноземного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походження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інструкцію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використання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викладену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українською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мовою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затверджену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належним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чином 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лист про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виконання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вимог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даного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пункту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Термін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придатності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 на момент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постачання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складати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не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менш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80%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терміну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придатності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визначеного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виробником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лист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у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повинні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заявленому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переліку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(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надає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довідку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gram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в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дов</w:t>
      </w:r>
      <w:proofErr w:type="gram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ільній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формі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у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складі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своєї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пропозиції</w:t>
      </w:r>
      <w:proofErr w:type="spellEnd"/>
      <w:r w:rsidRPr="00A553CB">
        <w:rPr>
          <w:rFonts w:ascii="Times New Roman" w:hAnsi="Times New Roman" w:cs="Times New Roman"/>
          <w:b/>
          <w:i/>
          <w:color w:val="auto"/>
          <w:sz w:val="24"/>
          <w:szCs w:val="24"/>
          <w:lang w:eastAsia="uk-UA"/>
        </w:rPr>
        <w:t>).</w:t>
      </w:r>
    </w:p>
    <w:p w:rsidR="00A553CB" w:rsidRPr="00A553CB" w:rsidRDefault="00A553CB" w:rsidP="00A553CB">
      <w:pPr>
        <w:numPr>
          <w:ilvl w:val="0"/>
          <w:numId w:val="19"/>
        </w:numPr>
        <w:tabs>
          <w:tab w:val="left" w:pos="709"/>
        </w:tabs>
        <w:suppressAutoHyphens w:val="0"/>
        <w:spacing w:before="120" w:after="200" w:line="240" w:lineRule="auto"/>
        <w:ind w:left="0" w:right="425" w:hanging="9"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еквівалент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)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ніж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передбачений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цією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тендерною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документацією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даний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властивостями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повністю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відповідати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закупі</w:t>
      </w: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усіма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показниками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.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Еквівалентом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розумінні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даної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тендерної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документації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лікарський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засіб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якість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діюча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речовина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міжнародна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назва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),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дозування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форма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випуску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концентрація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 та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стандартні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характеристики товару абсолютно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співпадають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 характеристиками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лікарського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є предметом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закупівлі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. </w:t>
      </w:r>
    </w:p>
    <w:p w:rsidR="00A553CB" w:rsidRPr="00A553CB" w:rsidRDefault="00A553CB" w:rsidP="00A553CB">
      <w:pPr>
        <w:tabs>
          <w:tab w:val="left" w:pos="993"/>
        </w:tabs>
        <w:suppressAutoHyphens w:val="0"/>
        <w:spacing w:before="120" w:line="240" w:lineRule="auto"/>
        <w:ind w:right="425"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>8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ru-RU"/>
        </w:rPr>
        <w:t xml:space="preserve"> 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У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разі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якщо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до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закупі</w:t>
      </w:r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еквівалент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повинен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надати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порівняльну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таблицю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лікарські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засоби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709"/>
        </w:tabs>
        <w:suppressAutoHyphens w:val="0"/>
        <w:spacing w:before="120" w:after="20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2.9.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Учасник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визначає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ціни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товари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які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він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пропонує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поставити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Договором, з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урахуванням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своїх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витрат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на доставку,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страхування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товару,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податків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і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зборів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що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сплачуються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або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мають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бути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сплачені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усіх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інших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витрат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ind w:right="425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2.1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0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.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Гарантійний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лист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Учасника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про перегляд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цін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в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бік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зменшення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на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товари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їх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поставку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без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зміни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кількості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(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обсягу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) та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якості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товарів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у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разі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коливання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ціни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товару </w:t>
      </w:r>
      <w:proofErr w:type="gram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на</w:t>
      </w:r>
      <w:proofErr w:type="gram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ринку.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ind w:right="425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eastAsia="uk-UA"/>
        </w:rPr>
      </w:pP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lastRenderedPageBreak/>
        <w:t>2.1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val="uk-UA" w:eastAsia="uk-UA"/>
        </w:rPr>
        <w:t>1</w:t>
      </w:r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.</w:t>
      </w:r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Доставка </w:t>
      </w:r>
      <w:proofErr w:type="spellStart"/>
      <w:proofErr w:type="gram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л</w:t>
      </w:r>
      <w:proofErr w:type="gram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ікарських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засобів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Замовнику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здійснюється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 за </w:t>
      </w:r>
      <w:proofErr w:type="spellStart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>адресою</w:t>
      </w:r>
      <w:proofErr w:type="spellEnd"/>
      <w:r w:rsidRPr="00A553CB">
        <w:rPr>
          <w:rFonts w:ascii="Times New Roman" w:hAnsi="Times New Roman" w:cs="Times New Roman"/>
          <w:color w:val="auto"/>
          <w:sz w:val="24"/>
          <w:szCs w:val="24"/>
          <w:lang w:eastAsia="uk-UA"/>
        </w:rPr>
        <w:t xml:space="preserve">: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вул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. Слобода, 102, с.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Ходорків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, </w:t>
      </w:r>
      <w:proofErr w:type="spellStart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>Житомирська</w:t>
      </w:r>
      <w:proofErr w:type="spellEnd"/>
      <w:r w:rsidRPr="00A553CB">
        <w:rPr>
          <w:rFonts w:ascii="Times New Roman" w:hAnsi="Times New Roman" w:cs="Times New Roman"/>
          <w:b/>
          <w:color w:val="auto"/>
          <w:sz w:val="24"/>
          <w:szCs w:val="24"/>
          <w:lang w:eastAsia="uk-UA"/>
        </w:rPr>
        <w:t xml:space="preserve"> обл.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При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поставці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товару </w:t>
      </w:r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повинна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додержуватись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цілісність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стандартної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упаковки з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необхідними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реквізитами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виробника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1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.</w:t>
      </w:r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Товар повинен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постачатися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Замовнику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у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тарі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, яка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забезпечує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зберігання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при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транспортуванні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відповідає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установленим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стандартам.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Маркування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–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згідно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вимог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діючого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законодавства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2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 xml:space="preserve">. </w:t>
      </w:r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Доставка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замовленої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проводиться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окремими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партіями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адресою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спеціально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обладнаним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транспортом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Постачальника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з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дотриманням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санітарно-гігієнічних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умов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зберігання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та з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дотриманням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gram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температурного</w:t>
      </w:r>
      <w:proofErr w:type="gram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режиму,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вказаного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в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інструкції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до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iCs/>
          <w:color w:val="auto"/>
          <w:sz w:val="24"/>
          <w:szCs w:val="24"/>
          <w:lang w:eastAsia="en-US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</w:pP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>2.12.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val="uk-UA" w:eastAsia="en-US"/>
        </w:rPr>
        <w:t>3</w:t>
      </w:r>
      <w:r w:rsidRPr="00A553CB">
        <w:rPr>
          <w:rFonts w:ascii="Times New Roman" w:eastAsia="Calibri" w:hAnsi="Times New Roman" w:cs="Times New Roman"/>
          <w:b/>
          <w:iCs/>
          <w:color w:val="auto"/>
          <w:sz w:val="24"/>
          <w:szCs w:val="24"/>
          <w:lang w:eastAsia="en-US"/>
        </w:rPr>
        <w:t xml:space="preserve">.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Постачання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лікарських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засобів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здійснюється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протягом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3-х 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робочих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днів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 моменту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надходження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постачальнику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заявки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від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(факсом, телефоном,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тощо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) 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(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Учасник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gram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у</w:t>
      </w:r>
      <w:proofErr w:type="gram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складі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своєї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тендерної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пропозиції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надає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>гарантійний</w:t>
      </w:r>
      <w:proofErr w:type="spellEnd"/>
      <w:r w:rsidRPr="00A553CB">
        <w:rPr>
          <w:rFonts w:ascii="Times New Roman" w:eastAsia="Calibri" w:hAnsi="Times New Roman" w:cs="Times New Roman"/>
          <w:b/>
          <w:i/>
          <w:color w:val="auto"/>
          <w:sz w:val="24"/>
          <w:szCs w:val="24"/>
          <w:lang w:eastAsia="ru-RU"/>
        </w:rPr>
        <w:t xml:space="preserve"> лист).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2.12.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ru-RU"/>
        </w:rPr>
        <w:t>4</w:t>
      </w: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Навантаження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розвантаження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поставка товару до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транспортні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витрати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здійснюються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рахунок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переможця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торгі</w:t>
      </w:r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</w:t>
      </w:r>
      <w:proofErr w:type="spellEnd"/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A553CB" w:rsidRPr="00A553CB" w:rsidRDefault="00A553CB" w:rsidP="00A553CB">
      <w:pPr>
        <w:shd w:val="clear" w:color="auto" w:fill="FFFFFF"/>
        <w:tabs>
          <w:tab w:val="left" w:pos="993"/>
        </w:tabs>
        <w:suppressAutoHyphens w:val="0"/>
        <w:spacing w:before="120" w:line="240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553CB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2.13.</w:t>
      </w:r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виникнення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обґрунтованих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ідстав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вважати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поставлений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товар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можливо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являється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неякісним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ознаки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фальсифікованих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є таким,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може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загрожувати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життю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здоров’ю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пацієнтів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право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замовити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проведення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досліджень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поставлених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ліків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відповідність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наданим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документам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безпеки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в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спеціальних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акредитованих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це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лабораторіях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відповідні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proofErr w:type="gram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досл</w:t>
      </w:r>
      <w:proofErr w:type="gram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ідження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щодо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якості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повинні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проводитись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рахунок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учасника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торгів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; в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разі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встановлення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невідповідності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заданим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параметрам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замовник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залишає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за собою право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повернення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учаснику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та у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подальшому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розірвання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існуючого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договору на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постачання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продукції</w:t>
      </w:r>
      <w:proofErr w:type="spellEnd"/>
      <w:r w:rsidRPr="00A553CB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. </w:t>
      </w:r>
    </w:p>
    <w:p w:rsidR="00A553CB" w:rsidRPr="00A553CB" w:rsidRDefault="00A553CB" w:rsidP="00A553CB">
      <w:pPr>
        <w:suppressAutoHyphens w:val="0"/>
        <w:spacing w:after="200"/>
        <w:rPr>
          <w:rFonts w:ascii="Times New Roman" w:hAnsi="Times New Roman" w:cs="Calibri"/>
          <w:b/>
          <w:sz w:val="24"/>
          <w:szCs w:val="24"/>
          <w:lang w:val="uk-UA" w:eastAsia="uk-UA"/>
        </w:rPr>
      </w:pPr>
    </w:p>
    <w:p w:rsidR="00A553CB" w:rsidRPr="00A553CB" w:rsidRDefault="00A553CB" w:rsidP="00A553CB">
      <w:pPr>
        <w:suppressAutoHyphens w:val="0"/>
        <w:spacing w:after="200"/>
        <w:rPr>
          <w:rFonts w:ascii="Calibri" w:eastAsia="Calibri" w:hAnsi="Calibri" w:cs="Times New Roman"/>
          <w:color w:val="auto"/>
          <w:lang w:val="uk-UA" w:eastAsia="en-US"/>
        </w:rPr>
      </w:pP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Ми, _____________________________________________________________________ </w:t>
      </w:r>
    </w:p>
    <w:p w:rsidR="00A553CB" w:rsidRPr="00A553CB" w:rsidRDefault="00A553CB" w:rsidP="00A553CB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53CB">
        <w:rPr>
          <w:rFonts w:ascii="Times New Roman" w:hAnsi="Times New Roman"/>
          <w:i/>
          <w:sz w:val="24"/>
          <w:szCs w:val="24"/>
          <w:lang w:val="uk-UA"/>
        </w:rPr>
        <w:t>(назва Учасника)</w:t>
      </w:r>
      <w:r w:rsidRPr="00A553CB">
        <w:rPr>
          <w:rFonts w:ascii="Times New Roman" w:hAnsi="Times New Roman"/>
          <w:b/>
          <w:sz w:val="24"/>
          <w:szCs w:val="24"/>
          <w:lang w:val="uk-UA"/>
        </w:rPr>
        <w:t xml:space="preserve"> погоджуємося з технічними, якісними та кількісними характеристики предмета закупівлі та з усіма  вимогами, викладеними в Додатку №2 до тендерної документації "Інформація про необхідні технічні, якісні та кількісні характеристики предмета закупівлі" та зобов’язується дотримуватись даних вимог при виконанні договору.</w:t>
      </w:r>
    </w:p>
    <w:p w:rsidR="00A553CB" w:rsidRPr="00A553CB" w:rsidRDefault="00A553CB" w:rsidP="00A553CB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553CB" w:rsidRPr="00A553CB" w:rsidRDefault="00A553CB" w:rsidP="00A553C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553CB">
        <w:rPr>
          <w:rFonts w:ascii="Times New Roman" w:hAnsi="Times New Roman"/>
          <w:b/>
          <w:sz w:val="24"/>
          <w:szCs w:val="24"/>
        </w:rPr>
        <w:t xml:space="preserve">Посада, </w:t>
      </w:r>
      <w:proofErr w:type="spellStart"/>
      <w:proofErr w:type="gramStart"/>
      <w:r w:rsidRPr="00A553CB">
        <w:rPr>
          <w:rFonts w:ascii="Times New Roman" w:hAnsi="Times New Roman"/>
          <w:b/>
          <w:sz w:val="24"/>
          <w:szCs w:val="24"/>
        </w:rPr>
        <w:t>пр</w:t>
      </w:r>
      <w:proofErr w:type="gramEnd"/>
      <w:r w:rsidRPr="00A553CB">
        <w:rPr>
          <w:rFonts w:ascii="Times New Roman" w:hAnsi="Times New Roman"/>
          <w:b/>
          <w:sz w:val="24"/>
          <w:szCs w:val="24"/>
        </w:rPr>
        <w:t>ізвище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A553CB">
        <w:rPr>
          <w:rFonts w:ascii="Times New Roman" w:hAnsi="Times New Roman"/>
          <w:b/>
          <w:sz w:val="24"/>
          <w:szCs w:val="24"/>
        </w:rPr>
        <w:t>ініціали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 xml:space="preserve">     ________________________</w:t>
      </w:r>
    </w:p>
    <w:p w:rsidR="00A553CB" w:rsidRPr="00A553CB" w:rsidRDefault="00A553CB" w:rsidP="00A553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553CB">
        <w:rPr>
          <w:rFonts w:ascii="Times New Roman" w:hAnsi="Times New Roman"/>
          <w:b/>
          <w:caps/>
          <w:sz w:val="24"/>
          <w:szCs w:val="24"/>
        </w:rPr>
        <w:t>м.п.</w:t>
      </w:r>
      <w:r w:rsidRPr="00A553CB">
        <w:rPr>
          <w:rFonts w:ascii="Times New Roman" w:hAnsi="Times New Roman"/>
          <w:b/>
          <w:sz w:val="24"/>
          <w:szCs w:val="24"/>
        </w:rPr>
        <w:t xml:space="preserve"> (за </w:t>
      </w:r>
      <w:proofErr w:type="spellStart"/>
      <w:r w:rsidRPr="00A553CB">
        <w:rPr>
          <w:rFonts w:ascii="Times New Roman" w:hAnsi="Times New Roman"/>
          <w:b/>
          <w:sz w:val="24"/>
          <w:szCs w:val="24"/>
        </w:rPr>
        <w:t>наявності</w:t>
      </w:r>
      <w:proofErr w:type="spellEnd"/>
      <w:r w:rsidRPr="00A553CB">
        <w:rPr>
          <w:rFonts w:ascii="Times New Roman" w:hAnsi="Times New Roman"/>
          <w:b/>
          <w:sz w:val="24"/>
          <w:szCs w:val="24"/>
        </w:rPr>
        <w:t>)</w:t>
      </w:r>
    </w:p>
    <w:p w:rsidR="00A553CB" w:rsidRPr="00A553CB" w:rsidRDefault="00A553CB" w:rsidP="00A553CB">
      <w:pPr>
        <w:widowControl w:val="0"/>
        <w:spacing w:line="240" w:lineRule="auto"/>
        <w:rPr>
          <w:lang w:val="uk-UA"/>
        </w:rPr>
      </w:pPr>
    </w:p>
    <w:p w:rsidR="00306982" w:rsidRPr="003D27CD" w:rsidRDefault="00A553CB" w:rsidP="00A553CB">
      <w:pPr>
        <w:tabs>
          <w:tab w:val="left" w:pos="540"/>
        </w:tabs>
        <w:spacing w:line="240" w:lineRule="auto"/>
        <w:jc w:val="right"/>
        <w:rPr>
          <w:lang w:val="uk-UA"/>
        </w:rPr>
      </w:pPr>
      <w:r w:rsidRPr="00A553CB">
        <w:rPr>
          <w:rFonts w:ascii="Times New Roman" w:hAnsi="Times New Roman" w:cs="Calibri"/>
          <w:b/>
          <w:sz w:val="24"/>
          <w:szCs w:val="24"/>
          <w:lang w:eastAsia="uk-UA"/>
        </w:rPr>
        <w:br w:type="page"/>
      </w:r>
    </w:p>
    <w:sectPr w:rsidR="00306982" w:rsidRPr="003D27CD" w:rsidSect="00A4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377"/>
    <w:multiLevelType w:val="multilevel"/>
    <w:tmpl w:val="ACBE9D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0AA1A68"/>
    <w:multiLevelType w:val="hybridMultilevel"/>
    <w:tmpl w:val="818EBD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835098"/>
    <w:multiLevelType w:val="hybridMultilevel"/>
    <w:tmpl w:val="5B6A7E12"/>
    <w:lvl w:ilvl="0" w:tplc="F5847B4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06C858F9"/>
    <w:multiLevelType w:val="hybridMultilevel"/>
    <w:tmpl w:val="F95278D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9F270D"/>
    <w:multiLevelType w:val="hybridMultilevel"/>
    <w:tmpl w:val="A3EAB450"/>
    <w:lvl w:ilvl="0" w:tplc="D422B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8E7A34"/>
    <w:multiLevelType w:val="hybridMultilevel"/>
    <w:tmpl w:val="89BEB62C"/>
    <w:lvl w:ilvl="0" w:tplc="44DC1F8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63E56"/>
    <w:multiLevelType w:val="hybridMultilevel"/>
    <w:tmpl w:val="CBA639D0"/>
    <w:lvl w:ilvl="0" w:tplc="671634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E6726"/>
    <w:multiLevelType w:val="multilevel"/>
    <w:tmpl w:val="6AF0F5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5D887D6E"/>
    <w:multiLevelType w:val="hybridMultilevel"/>
    <w:tmpl w:val="8A22BACA"/>
    <w:lvl w:ilvl="0" w:tplc="5F20C6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6272423"/>
    <w:multiLevelType w:val="hybridMultilevel"/>
    <w:tmpl w:val="30FA6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C0C0B"/>
    <w:multiLevelType w:val="multilevel"/>
    <w:tmpl w:val="6D8E48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EF50BC5"/>
    <w:multiLevelType w:val="hybridMultilevel"/>
    <w:tmpl w:val="6E729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3710EF"/>
    <w:multiLevelType w:val="hybridMultilevel"/>
    <w:tmpl w:val="89248948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12801"/>
    <w:multiLevelType w:val="hybridMultilevel"/>
    <w:tmpl w:val="B67E7BFA"/>
    <w:lvl w:ilvl="0" w:tplc="BB7C39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865027"/>
    <w:multiLevelType w:val="hybridMultilevel"/>
    <w:tmpl w:val="57BA103E"/>
    <w:lvl w:ilvl="0" w:tplc="5F20C6B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E2183"/>
    <w:multiLevelType w:val="hybridMultilevel"/>
    <w:tmpl w:val="C14AEB6C"/>
    <w:lvl w:ilvl="0" w:tplc="5F20C6B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5"/>
  </w:num>
  <w:num w:numId="11">
    <w:abstractNumId w:val="3"/>
  </w:num>
  <w:num w:numId="12">
    <w:abstractNumId w:val="9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CC"/>
    <w:rsid w:val="0001138A"/>
    <w:rsid w:val="000167BC"/>
    <w:rsid w:val="00020A26"/>
    <w:rsid w:val="00032F78"/>
    <w:rsid w:val="00061271"/>
    <w:rsid w:val="000620BF"/>
    <w:rsid w:val="000B2370"/>
    <w:rsid w:val="000F697B"/>
    <w:rsid w:val="00161165"/>
    <w:rsid w:val="00174F97"/>
    <w:rsid w:val="001A40BC"/>
    <w:rsid w:val="001C1ADF"/>
    <w:rsid w:val="001C29BF"/>
    <w:rsid w:val="001D4393"/>
    <w:rsid w:val="001E0E4C"/>
    <w:rsid w:val="00220098"/>
    <w:rsid w:val="002264ED"/>
    <w:rsid w:val="00250C14"/>
    <w:rsid w:val="00266191"/>
    <w:rsid w:val="00277864"/>
    <w:rsid w:val="00281465"/>
    <w:rsid w:val="002816A9"/>
    <w:rsid w:val="0028274B"/>
    <w:rsid w:val="00285DD6"/>
    <w:rsid w:val="0028634B"/>
    <w:rsid w:val="00290624"/>
    <w:rsid w:val="002908CD"/>
    <w:rsid w:val="0029631B"/>
    <w:rsid w:val="002969D5"/>
    <w:rsid w:val="002A1BCC"/>
    <w:rsid w:val="002B1364"/>
    <w:rsid w:val="002F1D43"/>
    <w:rsid w:val="00306982"/>
    <w:rsid w:val="00330288"/>
    <w:rsid w:val="003342A7"/>
    <w:rsid w:val="003573A3"/>
    <w:rsid w:val="00392258"/>
    <w:rsid w:val="003A6FA1"/>
    <w:rsid w:val="003D27CD"/>
    <w:rsid w:val="003E76D6"/>
    <w:rsid w:val="003F768D"/>
    <w:rsid w:val="0040352B"/>
    <w:rsid w:val="0040737E"/>
    <w:rsid w:val="004463B9"/>
    <w:rsid w:val="004531EB"/>
    <w:rsid w:val="00467CDE"/>
    <w:rsid w:val="00477451"/>
    <w:rsid w:val="00481933"/>
    <w:rsid w:val="00481BEC"/>
    <w:rsid w:val="004839B7"/>
    <w:rsid w:val="004960B8"/>
    <w:rsid w:val="004B7FCD"/>
    <w:rsid w:val="004C19E1"/>
    <w:rsid w:val="004D1BF8"/>
    <w:rsid w:val="004D53EE"/>
    <w:rsid w:val="004E34B6"/>
    <w:rsid w:val="00503CEF"/>
    <w:rsid w:val="005632EC"/>
    <w:rsid w:val="00571F41"/>
    <w:rsid w:val="00586CDA"/>
    <w:rsid w:val="005936E9"/>
    <w:rsid w:val="00594105"/>
    <w:rsid w:val="005A717E"/>
    <w:rsid w:val="005C5104"/>
    <w:rsid w:val="006071AA"/>
    <w:rsid w:val="00632DC6"/>
    <w:rsid w:val="00645C95"/>
    <w:rsid w:val="0065360B"/>
    <w:rsid w:val="00664763"/>
    <w:rsid w:val="00677790"/>
    <w:rsid w:val="006A20B1"/>
    <w:rsid w:val="006C797D"/>
    <w:rsid w:val="006D2BC4"/>
    <w:rsid w:val="006E3ED9"/>
    <w:rsid w:val="006F4512"/>
    <w:rsid w:val="00740FAA"/>
    <w:rsid w:val="00757324"/>
    <w:rsid w:val="00770773"/>
    <w:rsid w:val="00773D8F"/>
    <w:rsid w:val="007A2F8E"/>
    <w:rsid w:val="007A34E0"/>
    <w:rsid w:val="007E2CDC"/>
    <w:rsid w:val="007F4F47"/>
    <w:rsid w:val="00830E1D"/>
    <w:rsid w:val="0085043C"/>
    <w:rsid w:val="00853337"/>
    <w:rsid w:val="00882904"/>
    <w:rsid w:val="008F76C3"/>
    <w:rsid w:val="00967234"/>
    <w:rsid w:val="009762DB"/>
    <w:rsid w:val="00983685"/>
    <w:rsid w:val="009A2389"/>
    <w:rsid w:val="009B72E8"/>
    <w:rsid w:val="009E09FC"/>
    <w:rsid w:val="009E3D5F"/>
    <w:rsid w:val="009E4CCC"/>
    <w:rsid w:val="00A03346"/>
    <w:rsid w:val="00A07321"/>
    <w:rsid w:val="00A11F75"/>
    <w:rsid w:val="00A250B6"/>
    <w:rsid w:val="00A30CC3"/>
    <w:rsid w:val="00A325B8"/>
    <w:rsid w:val="00A42E5D"/>
    <w:rsid w:val="00A553CB"/>
    <w:rsid w:val="00A6300B"/>
    <w:rsid w:val="00AC2611"/>
    <w:rsid w:val="00B34A3E"/>
    <w:rsid w:val="00B42A95"/>
    <w:rsid w:val="00B42E52"/>
    <w:rsid w:val="00B83E2C"/>
    <w:rsid w:val="00BA6607"/>
    <w:rsid w:val="00BB1C8A"/>
    <w:rsid w:val="00BD490C"/>
    <w:rsid w:val="00BF4F69"/>
    <w:rsid w:val="00BF5284"/>
    <w:rsid w:val="00C22229"/>
    <w:rsid w:val="00C44A2A"/>
    <w:rsid w:val="00C80605"/>
    <w:rsid w:val="00CA0EF7"/>
    <w:rsid w:val="00CA591B"/>
    <w:rsid w:val="00CD005A"/>
    <w:rsid w:val="00CE0D54"/>
    <w:rsid w:val="00CF24C5"/>
    <w:rsid w:val="00D169E5"/>
    <w:rsid w:val="00D56A56"/>
    <w:rsid w:val="00D656CE"/>
    <w:rsid w:val="00D83A24"/>
    <w:rsid w:val="00E22584"/>
    <w:rsid w:val="00E53EDA"/>
    <w:rsid w:val="00E65322"/>
    <w:rsid w:val="00E679C6"/>
    <w:rsid w:val="00E776C3"/>
    <w:rsid w:val="00E83E30"/>
    <w:rsid w:val="00E96730"/>
    <w:rsid w:val="00EE4481"/>
    <w:rsid w:val="00F11AC3"/>
    <w:rsid w:val="00F50974"/>
    <w:rsid w:val="00F8545B"/>
    <w:rsid w:val="00FA1EC3"/>
    <w:rsid w:val="00FC2B99"/>
    <w:rsid w:val="00FD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4B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C"/>
    <w:pPr>
      <w:suppressAutoHyphens/>
      <w:spacing w:after="0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4763"/>
    <w:pPr>
      <w:ind w:left="720"/>
      <w:contextualSpacing/>
    </w:pPr>
  </w:style>
  <w:style w:type="paragraph" w:customStyle="1" w:styleId="1">
    <w:name w:val="Обычный1"/>
    <w:qFormat/>
    <w:rsid w:val="003A6FA1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a4">
    <w:name w:val="Абзац списка Знак"/>
    <w:link w:val="a3"/>
    <w:uiPriority w:val="34"/>
    <w:locked/>
    <w:rsid w:val="000F697B"/>
    <w:rPr>
      <w:rFonts w:ascii="Arial" w:eastAsia="Times New Roman" w:hAnsi="Arial" w:cs="Arial"/>
      <w:color w:val="00000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863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34B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User</cp:lastModifiedBy>
  <cp:revision>15</cp:revision>
  <cp:lastPrinted>2024-03-29T14:45:00Z</cp:lastPrinted>
  <dcterms:created xsi:type="dcterms:W3CDTF">2024-02-20T09:55:00Z</dcterms:created>
  <dcterms:modified xsi:type="dcterms:W3CDTF">2024-03-29T14:47:00Z</dcterms:modified>
</cp:coreProperties>
</file>