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83C5F" w:rsidRPr="00883C5F">
        <w:rPr>
          <w:b/>
          <w:color w:val="00000A"/>
          <w:lang w:eastAsia="zh-CN"/>
        </w:rPr>
        <w:t xml:space="preserve">33190000-8 - Медичне обладнання </w:t>
      </w:r>
      <w:r w:rsidR="00883C5F">
        <w:rPr>
          <w:b/>
          <w:color w:val="00000A"/>
          <w:lang w:eastAsia="zh-CN"/>
        </w:rPr>
        <w:t xml:space="preserve">та вироби медичного призначення </w:t>
      </w:r>
      <w:r w:rsidR="00883C5F" w:rsidRPr="00883C5F">
        <w:rPr>
          <w:b/>
          <w:color w:val="00000A"/>
          <w:lang w:eastAsia="zh-CN"/>
        </w:rPr>
        <w:t>різні</w:t>
      </w:r>
      <w:r w:rsidR="00883C5F">
        <w:rPr>
          <w:b/>
          <w:color w:val="00000A"/>
          <w:lang w:eastAsia="zh-CN"/>
        </w:rPr>
        <w:t xml:space="preserve"> (</w:t>
      </w:r>
      <w:r w:rsidR="002E4C08" w:rsidRPr="002E4C08">
        <w:rPr>
          <w:b/>
          <w:color w:val="00000A"/>
          <w:lang w:eastAsia="zh-CN"/>
        </w:rPr>
        <w:t>Пробірка вакуумна, 4 мл, 13х75 мм, ЕДТА К2, бузкова кришка, Пробірка вакуумна, 3 мл, 13х75 мм, ЕДТА К3, бузкова кришка</w:t>
      </w:r>
      <w:bookmarkStart w:id="0" w:name="_GoBack"/>
      <w:bookmarkEnd w:id="0"/>
      <w:r w:rsidR="00883C5F">
        <w:rPr>
          <w:b/>
          <w:color w:val="00000A"/>
          <w:lang w:eastAsia="zh-CN"/>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w:t>
      </w:r>
      <w:r w:rsidRPr="00F47669">
        <w:rPr>
          <w:lang w:eastAsia="en-US"/>
        </w:rPr>
        <w:lastRenderedPageBreak/>
        <w:t xml:space="preserve">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73232F">
        <w:rPr>
          <w:b/>
          <w:lang w:eastAsia="en-US"/>
        </w:rPr>
        <w:t>15</w:t>
      </w:r>
      <w:r w:rsidR="009763FD">
        <w:rPr>
          <w:lang w:eastAsia="en-US"/>
        </w:rPr>
        <w:t xml:space="preserve"> </w:t>
      </w:r>
      <w:r w:rsidR="0073232F">
        <w:rPr>
          <w:lang w:eastAsia="en-US"/>
        </w:rPr>
        <w:t>квітня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 xml:space="preserve">комплектно відповідно до вимог стандартів, технічних </w:t>
      </w:r>
      <w:r w:rsidRPr="00F47669">
        <w:rPr>
          <w:lang w:eastAsia="en-US"/>
        </w:rPr>
        <w:lastRenderedPageBreak/>
        <w:t>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w:t>
      </w:r>
      <w:r w:rsidR="009155FF" w:rsidRPr="00F47669">
        <w:lastRenderedPageBreak/>
        <w:t>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lastRenderedPageBreak/>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 xml:space="preserve">8.7. У випадках, передбачених пунктом 8.1 розділу 8 цього Договору, строк виконання </w:t>
      </w:r>
      <w:r w:rsidRPr="00F47669">
        <w:lastRenderedPageBreak/>
        <w:t>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lastRenderedPageBreak/>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lastRenderedPageBreak/>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w:t>
      </w:r>
      <w:r>
        <w:lastRenderedPageBreak/>
        <w:t>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w:t>
      </w:r>
      <w:r w:rsidRPr="00787096">
        <w:lastRenderedPageBreak/>
        <w:t xml:space="preserve">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sectPr w:rsid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8B" w:rsidRDefault="006B748B" w:rsidP="00F5666D">
      <w:r>
        <w:separator/>
      </w:r>
    </w:p>
  </w:endnote>
  <w:endnote w:type="continuationSeparator" w:id="0">
    <w:p w:rsidR="006B748B" w:rsidRDefault="006B748B"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8B" w:rsidRDefault="006B748B" w:rsidP="00F5666D">
      <w:r>
        <w:separator/>
      </w:r>
    </w:p>
  </w:footnote>
  <w:footnote w:type="continuationSeparator" w:id="0">
    <w:p w:rsidR="006B748B" w:rsidRDefault="006B748B"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2E4C08" w:rsidRPr="002E4C08">
          <w:rPr>
            <w:noProof/>
            <w:lang w:val="ru-RU"/>
          </w:rPr>
          <w:t>11</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D73CC"/>
    <w:rsid w:val="002E3A3A"/>
    <w:rsid w:val="002E4C08"/>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46B28"/>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B748B"/>
    <w:rsid w:val="006C7266"/>
    <w:rsid w:val="00707F5F"/>
    <w:rsid w:val="00724740"/>
    <w:rsid w:val="00724784"/>
    <w:rsid w:val="00724955"/>
    <w:rsid w:val="0073232F"/>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D982-A808-468C-B1F9-9C30F3E7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23421</Words>
  <Characters>13350</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2024-03-21T11:09:00Z</dcterms:modified>
</cp:coreProperties>
</file>