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ED" w:rsidRPr="00410488" w:rsidRDefault="00A027ED" w:rsidP="00A027ED">
      <w:pPr>
        <w:ind w:firstLine="540"/>
        <w:jc w:val="right"/>
        <w:rPr>
          <w:b/>
          <w:sz w:val="24"/>
          <w:szCs w:val="24"/>
        </w:rPr>
      </w:pPr>
      <w:r>
        <w:rPr>
          <w:b/>
          <w:sz w:val="24"/>
          <w:szCs w:val="24"/>
        </w:rPr>
        <w:t>ДОДАТОК  2</w:t>
      </w:r>
    </w:p>
    <w:p w:rsidR="00A027ED" w:rsidRPr="009834B5" w:rsidRDefault="00A027ED" w:rsidP="00A027ED">
      <w:pPr>
        <w:widowControl w:val="0"/>
        <w:shd w:val="clear" w:color="auto" w:fill="FFFFFF"/>
        <w:jc w:val="center"/>
        <w:outlineLvl w:val="0"/>
        <w:rPr>
          <w:b/>
          <w:caps/>
          <w:sz w:val="24"/>
          <w:szCs w:val="24"/>
        </w:rPr>
      </w:pPr>
      <w:r w:rsidRPr="00410488">
        <w:rPr>
          <w:b/>
          <w:caps/>
          <w:sz w:val="24"/>
          <w:szCs w:val="24"/>
        </w:rPr>
        <w:t>ТЕХНІЧНі вимоги до товару</w:t>
      </w:r>
    </w:p>
    <w:p w:rsidR="00A027ED" w:rsidRDefault="00A027ED" w:rsidP="00A027ED">
      <w:pPr>
        <w:pStyle w:val="a4"/>
        <w:jc w:val="both"/>
        <w:rPr>
          <w:bCs/>
        </w:rPr>
      </w:pPr>
      <w:r w:rsidRPr="00654C2A">
        <w:t>на предмет закупівлі: Медичні матеріали Національний класифікатор «Єдиний закупівельний словник» ДК 021:2015 (CPV:2008</w:t>
      </w:r>
      <w:r>
        <w:t xml:space="preserve"> ) код ДК </w:t>
      </w:r>
      <w:r w:rsidRPr="00960EDD">
        <w:t>-</w:t>
      </w:r>
      <w:r w:rsidRPr="00960EDD">
        <w:rPr>
          <w:bCs/>
        </w:rPr>
        <w:t xml:space="preserve">33690000-3 - Лікарські засоби різні </w:t>
      </w:r>
      <w:r w:rsidR="00B44074">
        <w:rPr>
          <w:bCs/>
        </w:rPr>
        <w:t>(реактиви)</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809"/>
        <w:gridCol w:w="1138"/>
        <w:gridCol w:w="1134"/>
        <w:gridCol w:w="1701"/>
      </w:tblGrid>
      <w:tr w:rsidR="00752E7A" w:rsidRPr="00EF654A" w:rsidTr="00F303A8">
        <w:trPr>
          <w:trHeight w:val="558"/>
        </w:trPr>
        <w:tc>
          <w:tcPr>
            <w:tcW w:w="566" w:type="dxa"/>
            <w:tcBorders>
              <w:top w:val="single" w:sz="4" w:space="0" w:color="000000"/>
              <w:left w:val="single" w:sz="4" w:space="0" w:color="000000"/>
              <w:bottom w:val="single" w:sz="4" w:space="0" w:color="000000"/>
              <w:right w:val="single" w:sz="4" w:space="0" w:color="000000"/>
            </w:tcBorders>
            <w:hideMark/>
          </w:tcPr>
          <w:p w:rsidR="00752E7A" w:rsidRPr="007E44BF" w:rsidRDefault="00752E7A" w:rsidP="00752E7A">
            <w:pPr>
              <w:pStyle w:val="a4"/>
            </w:pPr>
            <w:r w:rsidRPr="007E44BF">
              <w:t>№</w:t>
            </w:r>
          </w:p>
        </w:tc>
        <w:tc>
          <w:tcPr>
            <w:tcW w:w="5809" w:type="dxa"/>
            <w:tcBorders>
              <w:top w:val="single" w:sz="4" w:space="0" w:color="000000"/>
              <w:left w:val="single" w:sz="4" w:space="0" w:color="000000"/>
              <w:bottom w:val="single" w:sz="4" w:space="0" w:color="000000"/>
              <w:right w:val="single" w:sz="4" w:space="0" w:color="000000"/>
            </w:tcBorders>
            <w:hideMark/>
          </w:tcPr>
          <w:p w:rsidR="00752E7A" w:rsidRPr="007E44BF" w:rsidRDefault="00752E7A" w:rsidP="00752E7A">
            <w:pPr>
              <w:pStyle w:val="a4"/>
            </w:pPr>
            <w:r w:rsidRPr="007E44BF">
              <w:t>Медико - технічні характеристики</w:t>
            </w:r>
          </w:p>
        </w:tc>
        <w:tc>
          <w:tcPr>
            <w:tcW w:w="1138" w:type="dxa"/>
            <w:tcBorders>
              <w:top w:val="single" w:sz="4" w:space="0" w:color="000000"/>
              <w:left w:val="single" w:sz="4" w:space="0" w:color="000000"/>
              <w:bottom w:val="single" w:sz="4" w:space="0" w:color="000000"/>
              <w:right w:val="single" w:sz="4" w:space="0" w:color="auto"/>
            </w:tcBorders>
            <w:hideMark/>
          </w:tcPr>
          <w:p w:rsidR="00752E7A" w:rsidRPr="007E44BF" w:rsidRDefault="00752E7A" w:rsidP="00752E7A">
            <w:pPr>
              <w:pStyle w:val="a4"/>
            </w:pPr>
            <w:r>
              <w:t>Кількість</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r>
              <w:t>Одиниці виміру</w:t>
            </w:r>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Код НК 024:2019</w:t>
            </w:r>
          </w:p>
        </w:tc>
      </w:tr>
      <w:tr w:rsidR="00752E7A" w:rsidRPr="000D08F9" w:rsidTr="00F303A8">
        <w:trPr>
          <w:trHeight w:val="351"/>
        </w:trPr>
        <w:tc>
          <w:tcPr>
            <w:tcW w:w="566" w:type="dxa"/>
            <w:tcBorders>
              <w:top w:val="single" w:sz="4" w:space="0" w:color="000000"/>
              <w:left w:val="single" w:sz="4" w:space="0" w:color="000000"/>
              <w:bottom w:val="single" w:sz="4" w:space="0" w:color="000000"/>
              <w:right w:val="single" w:sz="4" w:space="0" w:color="000000"/>
            </w:tcBorders>
            <w:hideMark/>
          </w:tcPr>
          <w:p w:rsidR="00752E7A" w:rsidRPr="00B74E6F" w:rsidRDefault="00752E7A" w:rsidP="00752E7A">
            <w:pPr>
              <w:pStyle w:val="a4"/>
            </w:pPr>
            <w:r w:rsidRPr="007E44BF">
              <w:t>1</w:t>
            </w:r>
            <w:r>
              <w:t>.</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752E7A" w:rsidRPr="000D08F9" w:rsidRDefault="00752E7A" w:rsidP="00752E7A">
            <w:pPr>
              <w:pStyle w:val="a4"/>
              <w:rPr>
                <w:color w:val="000000"/>
              </w:rPr>
            </w:pPr>
            <w:r w:rsidRPr="007E44BF">
              <w:t>Розчинник (</w:t>
            </w:r>
            <w:proofErr w:type="spellStart"/>
            <w:r w:rsidRPr="007E44BF">
              <w:t>ділюєнт</w:t>
            </w:r>
            <w:proofErr w:type="spellEnd"/>
            <w:r w:rsidRPr="007E44BF">
              <w:t>)</w:t>
            </w:r>
            <w:r>
              <w:t xml:space="preserve">. </w:t>
            </w:r>
            <w:r w:rsidRPr="00D25EDB">
              <w:t>Безбарвна рідина яка повинна</w:t>
            </w:r>
            <w:r>
              <w:t xml:space="preserve"> складатися з таких основних компонентів: сульфат натрію, буфер антимікробні компоненти. Повинен мати наступні </w:t>
            </w:r>
            <w:proofErr w:type="spellStart"/>
            <w:r>
              <w:t>референсні</w:t>
            </w:r>
            <w:proofErr w:type="spellEnd"/>
            <w:r>
              <w:t xml:space="preserve"> значення: </w:t>
            </w:r>
            <w:proofErr w:type="spellStart"/>
            <w:r w:rsidRPr="00EC784F">
              <w:t>рН</w:t>
            </w:r>
            <w:proofErr w:type="spellEnd"/>
            <w:r>
              <w:t xml:space="preserve"> не менше ніж</w:t>
            </w:r>
            <w:r w:rsidRPr="00EC784F">
              <w:t xml:space="preserve"> 7.0±0.20</w:t>
            </w:r>
            <w:r>
              <w:t xml:space="preserve">; провідність не менше </w:t>
            </w:r>
            <w:r w:rsidRPr="00041E8D">
              <w:t xml:space="preserve">17±0.50 </w:t>
            </w:r>
            <w:proofErr w:type="spellStart"/>
            <w:r w:rsidRPr="00041E8D">
              <w:t>мС</w:t>
            </w:r>
            <w:proofErr w:type="spellEnd"/>
            <w:r w:rsidRPr="00041E8D">
              <w:t xml:space="preserve">/см; осмотичний тиск </w:t>
            </w:r>
            <w:r>
              <w:t xml:space="preserve">не менше </w:t>
            </w:r>
            <w:r w:rsidRPr="00041E8D">
              <w:t>318±10</w:t>
            </w:r>
            <w:r>
              <w:t xml:space="preserve"> </w:t>
            </w:r>
            <w:proofErr w:type="spellStart"/>
            <w:r w:rsidRPr="00041E8D">
              <w:t>мосм</w:t>
            </w:r>
            <w:proofErr w:type="spellEnd"/>
            <w:r w:rsidRPr="00041E8D">
              <w:t>/кг</w:t>
            </w:r>
            <w:r>
              <w:t xml:space="preserve">. Об’єм реагентів не менше 20 л. Термін придатності 2 роки при температурі зберігання 2-30°С </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52E7A" w:rsidP="00752E7A">
            <w:pPr>
              <w:pStyle w:val="a4"/>
            </w:pPr>
            <w:r>
              <w:t>10</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58237</w:t>
            </w:r>
          </w:p>
        </w:tc>
      </w:tr>
      <w:tr w:rsidR="00752E7A" w:rsidRPr="00D4217A"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7E44BF">
              <w:t>2</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D25EDB" w:rsidRDefault="00752E7A" w:rsidP="00752E7A">
            <w:pPr>
              <w:pStyle w:val="a4"/>
            </w:pPr>
            <w:r w:rsidRPr="00D25EDB">
              <w:t xml:space="preserve">Розчин </w:t>
            </w:r>
            <w:proofErr w:type="spellStart"/>
            <w:r w:rsidRPr="00D25EDB">
              <w:t>лізуючий</w:t>
            </w:r>
            <w:proofErr w:type="spellEnd"/>
            <w:r>
              <w:t>.  Р</w:t>
            </w:r>
            <w:r w:rsidRPr="00D25EDB">
              <w:t>ідина яка повинна</w:t>
            </w:r>
            <w:r>
              <w:t xml:space="preserve"> складатися з таких основних компонентів: сульфат натрію, </w:t>
            </w:r>
            <w:r>
              <w:rPr>
                <w:position w:val="1"/>
              </w:rPr>
              <w:t>поверхнево-активна речовина, гліцерин</w:t>
            </w:r>
            <w:r>
              <w:t xml:space="preserve">. Розчин повинен мати наступні </w:t>
            </w:r>
            <w:proofErr w:type="spellStart"/>
            <w:r>
              <w:t>референсні</w:t>
            </w:r>
            <w:proofErr w:type="spellEnd"/>
            <w:r>
              <w:t xml:space="preserve"> значення: </w:t>
            </w:r>
            <w:proofErr w:type="spellStart"/>
            <w:r w:rsidRPr="00EC784F">
              <w:t>рН</w:t>
            </w:r>
            <w:proofErr w:type="spellEnd"/>
            <w:r>
              <w:t xml:space="preserve"> не менше ніж</w:t>
            </w:r>
            <w:r w:rsidRPr="00EC784F">
              <w:t xml:space="preserve"> </w:t>
            </w:r>
            <w:r w:rsidRPr="00941AD1">
              <w:t>8.8±0.2</w:t>
            </w:r>
            <w:r>
              <w:t xml:space="preserve">; довжина хвилі піку максимальної абсорбції – </w:t>
            </w:r>
            <w:proofErr w:type="spellStart"/>
            <w:r w:rsidRPr="00941AD1">
              <w:t>λмакс</w:t>
            </w:r>
            <w:proofErr w:type="spellEnd"/>
            <w:r>
              <w:t xml:space="preserve"> (</w:t>
            </w:r>
            <w:r w:rsidRPr="00941AD1">
              <w:t>540нм</w:t>
            </w:r>
            <w:r>
              <w:t>)</w:t>
            </w:r>
            <w:r>
              <w:rPr>
                <w:rFonts w:ascii="MS Gothic" w:eastAsia="MS Gothic" w:hAnsi="MS Gothic" w:cs="MS Gothic" w:hint="cs"/>
              </w:rPr>
              <w:t xml:space="preserve"> </w:t>
            </w:r>
            <w:r w:rsidRPr="00941AD1">
              <w:t>±10нм</w:t>
            </w:r>
            <w:r>
              <w:t>; значення холостої проби повинні бути не гірше - л</w:t>
            </w:r>
            <w:r w:rsidRPr="00FC4FCD">
              <w:t xml:space="preserve">ейкоцити ≤0.3×109/л, </w:t>
            </w:r>
            <w:proofErr w:type="spellStart"/>
            <w:r w:rsidRPr="00FC4FCD">
              <w:t>Hb</w:t>
            </w:r>
            <w:proofErr w:type="spellEnd"/>
            <w:r w:rsidRPr="00FC4FCD">
              <w:t xml:space="preserve"> ≤2г/л</w:t>
            </w:r>
            <w:r>
              <w:t xml:space="preserve">. Об’єм реагентів не більше 0,5 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52E7A" w:rsidP="00752E7A">
            <w:pPr>
              <w:pStyle w:val="a4"/>
            </w:pPr>
            <w:r>
              <w:t>22</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55859</w:t>
            </w:r>
          </w:p>
        </w:tc>
      </w:tr>
      <w:tr w:rsidR="00752E7A" w:rsidRPr="006C7307"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943758">
              <w:t>3</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5A2FCD" w:rsidRDefault="00752E7A" w:rsidP="00752E7A">
            <w:pPr>
              <w:pStyle w:val="a4"/>
            </w:pPr>
            <w:r w:rsidRPr="005A2FCD">
              <w:t>Очисник ферментативний</w:t>
            </w:r>
            <w:r>
              <w:t xml:space="preserve">. </w:t>
            </w:r>
            <w:r w:rsidRPr="005A2FCD">
              <w:t xml:space="preserve"> </w:t>
            </w:r>
            <w:r w:rsidRPr="00D25EDB">
              <w:t>Безбарвна рідина яка повинна</w:t>
            </w:r>
            <w:r>
              <w:t xml:space="preserve"> складатися з таких основних компонентів</w:t>
            </w:r>
            <w:r w:rsidRPr="005A2FCD">
              <w:t>:</w:t>
            </w:r>
            <w:r>
              <w:t xml:space="preserve"> </w:t>
            </w:r>
            <w:proofErr w:type="spellStart"/>
            <w:r>
              <w:t>протеаза</w:t>
            </w:r>
            <w:proofErr w:type="spellEnd"/>
            <w:r>
              <w:t xml:space="preserve"> </w:t>
            </w:r>
            <m:oMath>
              <m:r>
                <w:rPr>
                  <w:rFonts w:ascii="Cambria Math" w:hAnsi="Cambria Math"/>
                </w:rPr>
                <m:t>&lt;5%</m:t>
              </m:r>
            </m:oMath>
            <w:r>
              <w:t xml:space="preserve">, ліпаза. Розчин повинен мати наступні референсні значення: холоста проба повинна бути не гірше ніж – </w:t>
            </w:r>
            <w:r w:rsidRPr="005A2FCD">
              <w:t xml:space="preserve">лейкоцити ≤ 0,2 х </w:t>
            </w:r>
            <w:r w:rsidRPr="00A10915">
              <w:t>10</w:t>
            </w:r>
            <w:r w:rsidRPr="00A10915">
              <w:rPr>
                <w:vertAlign w:val="superscript"/>
              </w:rPr>
              <w:t>9</w:t>
            </w:r>
            <w:r w:rsidRPr="00A10915">
              <w:t>/л</w:t>
            </w:r>
            <w:r w:rsidRPr="005A2FCD">
              <w:t>, еритроцити ≤ 0.02×</w:t>
            </w:r>
            <w:r>
              <w:t>1</w:t>
            </w:r>
            <w:r w:rsidRPr="00A10915">
              <w:t>0</w:t>
            </w:r>
            <w:r w:rsidRPr="00A10915">
              <w:rPr>
                <w:vertAlign w:val="superscript"/>
              </w:rPr>
              <w:t>12</w:t>
            </w:r>
            <w:r w:rsidRPr="005A2FCD">
              <w:t xml:space="preserve">/л, </w:t>
            </w:r>
            <w:proofErr w:type="spellStart"/>
            <w:r w:rsidRPr="005A2FCD">
              <w:t>Hb</w:t>
            </w:r>
            <w:proofErr w:type="spellEnd"/>
            <w:r w:rsidRPr="005A2FCD">
              <w:t xml:space="preserve"> ≤ 1г/л</w:t>
            </w:r>
            <w:r w:rsidRPr="005A2FCD">
              <w:rPr>
                <w:rFonts w:ascii="MS Gothic" w:eastAsia="MS Gothic" w:hAnsi="MS Gothic" w:cs="MS Gothic" w:hint="eastAsia"/>
              </w:rPr>
              <w:t>，</w:t>
            </w:r>
            <w:r w:rsidRPr="005A2FCD">
              <w:t>тромбоцити ≤10×</w:t>
            </w:r>
            <w:r w:rsidRPr="00A10915">
              <w:t>10</w:t>
            </w:r>
            <w:r w:rsidRPr="00A10915">
              <w:rPr>
                <w:vertAlign w:val="superscript"/>
              </w:rPr>
              <w:t>9</w:t>
            </w:r>
            <w:r w:rsidRPr="00A10915">
              <w:t>/л</w:t>
            </w:r>
            <w:r>
              <w:t xml:space="preserve">. Об’єм реагентів не більше 50 мл.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52E7A" w:rsidP="00752E7A">
            <w:pPr>
              <w:pStyle w:val="a4"/>
            </w:pPr>
            <w:r>
              <w:t>15</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59058</w:t>
            </w:r>
          </w:p>
        </w:tc>
      </w:tr>
      <w:tr w:rsidR="00752E7A" w:rsidRPr="006C7307"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943758">
              <w:t>4</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5A2FCD" w:rsidRDefault="00752E7A" w:rsidP="00752E7A">
            <w:pPr>
              <w:pStyle w:val="a4"/>
            </w:pPr>
            <w:r w:rsidRPr="005A2FCD">
              <w:t>Очисник для периферичної крові</w:t>
            </w:r>
            <w:r>
              <w:t xml:space="preserve">. . </w:t>
            </w:r>
            <w:r w:rsidRPr="005A2FCD">
              <w:t xml:space="preserve"> </w:t>
            </w:r>
            <w:r w:rsidRPr="00D25EDB">
              <w:t>Безбарвна рідина яка повинна</w:t>
            </w:r>
            <w:r>
              <w:t xml:space="preserve"> складатися з таких основних компонентів</w:t>
            </w:r>
            <w:r w:rsidRPr="005A2FCD">
              <w:t>:</w:t>
            </w:r>
            <w:r>
              <w:t xml:space="preserve"> </w:t>
            </w:r>
            <w:proofErr w:type="spellStart"/>
            <w:r w:rsidRPr="00844777">
              <w:rPr>
                <w:position w:val="1"/>
              </w:rPr>
              <w:t>NaClO</w:t>
            </w:r>
            <w:proofErr w:type="spellEnd"/>
            <w:r w:rsidRPr="00A10915">
              <w:rPr>
                <w:position w:val="1"/>
              </w:rPr>
              <w:t xml:space="preserve">, </w:t>
            </w:r>
            <w:proofErr w:type="spellStart"/>
            <w:r w:rsidRPr="00844777">
              <w:rPr>
                <w:position w:val="1"/>
              </w:rPr>
              <w:t>NaOH</w:t>
            </w:r>
            <w:proofErr w:type="spellEnd"/>
            <w:r>
              <w:rPr>
                <w:position w:val="1"/>
              </w:rPr>
              <w:t xml:space="preserve">. </w:t>
            </w:r>
            <w:r>
              <w:t xml:space="preserve">Розчин повинен мати наступні </w:t>
            </w:r>
            <w:proofErr w:type="spellStart"/>
            <w:r>
              <w:t>референсні</w:t>
            </w:r>
            <w:proofErr w:type="spellEnd"/>
            <w:r>
              <w:t xml:space="preserve"> значення: холоста проба повинна бути не гірше ніж – </w:t>
            </w:r>
            <w:r w:rsidRPr="005A2FCD">
              <w:t xml:space="preserve">лейкоцити ≤ 0,2 х </w:t>
            </w:r>
            <w:r w:rsidRPr="00A10915">
              <w:t>10</w:t>
            </w:r>
            <w:r w:rsidRPr="00A10915">
              <w:rPr>
                <w:vertAlign w:val="superscript"/>
              </w:rPr>
              <w:t>9</w:t>
            </w:r>
            <w:r w:rsidRPr="00A10915">
              <w:t>/л</w:t>
            </w:r>
            <w:r w:rsidRPr="005A2FCD">
              <w:t xml:space="preserve">, еритроцити ≤ </w:t>
            </w:r>
            <w:r w:rsidRPr="005A2FCD">
              <w:lastRenderedPageBreak/>
              <w:t>0.02×</w:t>
            </w:r>
            <w:r>
              <w:t>1</w:t>
            </w:r>
            <w:r w:rsidRPr="00A10915">
              <w:t>0</w:t>
            </w:r>
            <w:r w:rsidRPr="00A10915">
              <w:rPr>
                <w:vertAlign w:val="superscript"/>
              </w:rPr>
              <w:t>12</w:t>
            </w:r>
            <w:r w:rsidRPr="005A2FCD">
              <w:t xml:space="preserve">/л, </w:t>
            </w:r>
            <w:proofErr w:type="spellStart"/>
            <w:r w:rsidRPr="005A2FCD">
              <w:t>Hb</w:t>
            </w:r>
            <w:proofErr w:type="spellEnd"/>
            <w:r w:rsidRPr="005A2FCD">
              <w:t xml:space="preserve"> ≤ 1г/л</w:t>
            </w:r>
            <w:r w:rsidRPr="005A2FCD">
              <w:rPr>
                <w:rFonts w:ascii="MS Gothic" w:eastAsia="MS Gothic" w:hAnsi="MS Gothic" w:cs="MS Gothic" w:hint="eastAsia"/>
              </w:rPr>
              <w:t>，</w:t>
            </w:r>
            <w:r w:rsidRPr="005A2FCD">
              <w:t>тромбоцити ≤10×</w:t>
            </w:r>
            <w:r w:rsidRPr="00A10915">
              <w:t>10</w:t>
            </w:r>
            <w:r w:rsidRPr="00A10915">
              <w:rPr>
                <w:vertAlign w:val="superscript"/>
              </w:rPr>
              <w:t>9</w:t>
            </w:r>
            <w:r w:rsidRPr="00A10915">
              <w:t>/л</w:t>
            </w:r>
            <w:r>
              <w:t xml:space="preserve">. Об’єм реагентів не більше 50 мл.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52E7A" w:rsidP="00752E7A">
            <w:pPr>
              <w:pStyle w:val="a4"/>
            </w:pPr>
            <w:r>
              <w:lastRenderedPageBreak/>
              <w:t>15</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59058</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trPr>
        <w:tc>
          <w:tcPr>
            <w:tcW w:w="566" w:type="dxa"/>
            <w:tcBorders>
              <w:left w:val="single" w:sz="4" w:space="0" w:color="auto"/>
              <w:bottom w:val="single" w:sz="4" w:space="0" w:color="auto"/>
              <w:right w:val="single" w:sz="4" w:space="0" w:color="auto"/>
            </w:tcBorders>
          </w:tcPr>
          <w:p w:rsidR="00752E7A" w:rsidRPr="00972DEC" w:rsidRDefault="00752E7A" w:rsidP="00752E7A">
            <w:pPr>
              <w:pStyle w:val="a4"/>
            </w:pPr>
            <w:r>
              <w:lastRenderedPageBreak/>
              <w:t>5.</w:t>
            </w:r>
          </w:p>
        </w:tc>
        <w:tc>
          <w:tcPr>
            <w:tcW w:w="5809" w:type="dxa"/>
            <w:tcBorders>
              <w:left w:val="single" w:sz="4" w:space="0" w:color="auto"/>
              <w:bottom w:val="single" w:sz="4" w:space="0" w:color="auto"/>
              <w:right w:val="single" w:sz="4" w:space="0" w:color="auto"/>
            </w:tcBorders>
          </w:tcPr>
          <w:p w:rsidR="00752E7A" w:rsidRPr="00972DEC" w:rsidRDefault="00752E7A" w:rsidP="00752E7A">
            <w:pPr>
              <w:pStyle w:val="a4"/>
            </w:pPr>
            <w:r w:rsidRPr="00B74E6F">
              <w:t>Розчинник DYMIND DIL-</w:t>
            </w:r>
            <w:proofErr w:type="spellStart"/>
            <w:r w:rsidRPr="00B74E6F">
              <w:t>C.</w:t>
            </w:r>
            <w:r w:rsidRPr="00972DEC">
              <w:t>Прозора</w:t>
            </w:r>
            <w:proofErr w:type="spellEnd"/>
            <w:r w:rsidRPr="00972DEC">
              <w:t xml:space="preserve"> рідина без осаду, преципітату або флокул. Повинен мати  певний осмотичний тиск та провідність, який може розріджувати кров і утворювати оболонковий потік, забезпечуючи стабільне середовище для підрахунку клітин крові. Об’єм реагентів не менше 20 л.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left w:val="single" w:sz="4" w:space="0" w:color="auto"/>
              <w:bottom w:val="single" w:sz="4" w:space="0" w:color="auto"/>
              <w:right w:val="single" w:sz="4" w:space="0" w:color="auto"/>
            </w:tcBorders>
          </w:tcPr>
          <w:p w:rsidR="00752E7A" w:rsidRPr="00972DEC" w:rsidRDefault="00752E7A" w:rsidP="00752E7A">
            <w:pPr>
              <w:pStyle w:val="a4"/>
            </w:pPr>
            <w:r>
              <w:t>10</w:t>
            </w:r>
          </w:p>
        </w:tc>
        <w:tc>
          <w:tcPr>
            <w:tcW w:w="1134" w:type="dxa"/>
            <w:tcBorders>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left w:val="single" w:sz="4" w:space="0" w:color="auto"/>
              <w:bottom w:val="single" w:sz="4" w:space="0" w:color="auto"/>
              <w:right w:val="single" w:sz="4" w:space="0" w:color="auto"/>
            </w:tcBorders>
          </w:tcPr>
          <w:p w:rsidR="00752E7A" w:rsidRPr="00972DEC" w:rsidRDefault="00752E7A" w:rsidP="00752E7A">
            <w:pPr>
              <w:pStyle w:val="a4"/>
            </w:pPr>
            <w:r>
              <w:t>58237</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6.</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Розчин </w:t>
            </w:r>
            <w:proofErr w:type="spellStart"/>
            <w:r w:rsidRPr="00972DEC">
              <w:t>лізуючий</w:t>
            </w:r>
            <w:proofErr w:type="spellEnd"/>
            <w:r w:rsidRPr="00972DEC">
              <w:t xml:space="preserve"> </w:t>
            </w:r>
            <w:r w:rsidRPr="00B74E6F">
              <w:t>DYMIN</w:t>
            </w:r>
            <w:r>
              <w:t>D LYC-</w:t>
            </w:r>
            <w:r w:rsidRPr="00972DEC">
              <w:t>1. Повинен використовуватися для лізису еритроцитів та реагування з вивільненим гемоглобіном для вимірювання HGB, кількості лейкоцитів та базофілів. Повинен застосовуватись на гематологічному аналізаторі.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55859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7.</w:t>
            </w:r>
          </w:p>
        </w:tc>
        <w:tc>
          <w:tcPr>
            <w:tcW w:w="5809" w:type="dxa"/>
            <w:tcBorders>
              <w:top w:val="single" w:sz="4" w:space="0" w:color="auto"/>
              <w:left w:val="single" w:sz="4" w:space="0" w:color="auto"/>
              <w:bottom w:val="single" w:sz="4" w:space="0" w:color="auto"/>
              <w:right w:val="single" w:sz="4" w:space="0" w:color="auto"/>
            </w:tcBorders>
            <w:vAlign w:val="center"/>
          </w:tcPr>
          <w:p w:rsidR="00752E7A" w:rsidRPr="00972DEC" w:rsidRDefault="00752E7A" w:rsidP="00752E7A">
            <w:pPr>
              <w:pStyle w:val="a4"/>
            </w:pPr>
            <w:r w:rsidRPr="00972DEC">
              <w:t xml:space="preserve">Розчин </w:t>
            </w:r>
            <w:proofErr w:type="spellStart"/>
            <w:r w:rsidRPr="00972DEC">
              <w:t>лізуючий</w:t>
            </w:r>
            <w:proofErr w:type="spellEnd"/>
            <w:r w:rsidRPr="00972DEC">
              <w:t xml:space="preserve"> </w:t>
            </w:r>
            <w:r>
              <w:t>DYMIND LYC-</w:t>
            </w:r>
            <w:r w:rsidRPr="00972DEC">
              <w:t>2.  Повинен використовуватися для лізису еритроцитів та захисту морфології клітин для диференціального підрахунку лейкоцитів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55859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8.</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Очищувач</w:t>
            </w:r>
            <w:r>
              <w:t xml:space="preserve"> DYMIND CLE-P</w:t>
            </w:r>
            <w:r w:rsidRPr="00972DEC">
              <w:t>. Повинен використовуватися для регулярного очищення та промивання зонда та системи трубок в гематологічних аналізаторах.  Повинен залишатися стабільним протягом 2 років за умови зберігання при температурі 2-30°С.</w:t>
            </w:r>
            <w:r>
              <w:t xml:space="preserve"> </w:t>
            </w:r>
            <w:r w:rsidRPr="00B74E6F">
              <w:lastRenderedPageBreak/>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10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59058</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9.</w:t>
            </w:r>
          </w:p>
        </w:tc>
        <w:tc>
          <w:tcPr>
            <w:tcW w:w="5809" w:type="dxa"/>
            <w:tcBorders>
              <w:top w:val="single" w:sz="4" w:space="0" w:color="auto"/>
              <w:left w:val="single" w:sz="4" w:space="0" w:color="auto"/>
              <w:bottom w:val="single" w:sz="4" w:space="0" w:color="auto"/>
              <w:right w:val="single" w:sz="4" w:space="0" w:color="auto"/>
            </w:tcBorders>
          </w:tcPr>
          <w:p w:rsidR="00752E7A" w:rsidRPr="00B74E6F" w:rsidRDefault="00752E7A" w:rsidP="00752E7A">
            <w:pPr>
              <w:pStyle w:val="a4"/>
            </w:pPr>
            <w:r w:rsidRPr="00B74E6F">
              <w:t xml:space="preserve">Діагностичні тест-смужки для визначення </w:t>
            </w:r>
            <w:proofErr w:type="spellStart"/>
            <w:r w:rsidRPr="00B74E6F">
              <w:t>уробіліногену</w:t>
            </w:r>
            <w:proofErr w:type="spellEnd"/>
            <w:r w:rsidRPr="00B74E6F">
              <w:t xml:space="preserve">, білірубіну, глюкози, кетонів, білка, питомої ваги, еритроцитів, </w:t>
            </w:r>
            <w:proofErr w:type="spellStart"/>
            <w:r w:rsidRPr="00B74E6F">
              <w:t>рН</w:t>
            </w:r>
            <w:proofErr w:type="spellEnd"/>
            <w:r w:rsidRPr="00B74E6F">
              <w:t>, нітритів та лейкоцитів у сечі CITOLAB 10М.</w:t>
            </w:r>
          </w:p>
          <w:p w:rsidR="00752E7A" w:rsidRPr="00B74E6F" w:rsidRDefault="00752E7A" w:rsidP="00752E7A">
            <w:pPr>
              <w:pStyle w:val="a4"/>
            </w:pPr>
          </w:p>
          <w:p w:rsidR="00752E7A" w:rsidRPr="00B74E6F" w:rsidRDefault="00752E7A" w:rsidP="00752E7A">
            <w:pPr>
              <w:pStyle w:val="a4"/>
            </w:pPr>
            <w:r w:rsidRPr="00B74E6F">
              <w:t xml:space="preserve">Тест-смужки забезпечують швидке </w:t>
            </w:r>
            <w:proofErr w:type="spellStart"/>
            <w:r w:rsidRPr="00B74E6F">
              <w:t>напівкількісне</w:t>
            </w:r>
            <w:proofErr w:type="spellEnd"/>
            <w:r w:rsidRPr="00B74E6F">
              <w:t xml:space="preserve"> визначення 10 показників у сечі.</w:t>
            </w:r>
          </w:p>
          <w:p w:rsidR="00752E7A" w:rsidRPr="00B74E6F" w:rsidRDefault="00752E7A" w:rsidP="00752E7A">
            <w:pPr>
              <w:pStyle w:val="a4"/>
            </w:pPr>
            <w:r w:rsidRPr="00B74E6F">
              <w:t xml:space="preserve">Тривалість проведення аналізу - 1 – 2 хв. </w:t>
            </w:r>
          </w:p>
          <w:p w:rsidR="00752E7A" w:rsidRPr="00B74E6F" w:rsidRDefault="00752E7A" w:rsidP="00752E7A">
            <w:pPr>
              <w:pStyle w:val="a4"/>
            </w:pPr>
            <w:r w:rsidRPr="00B74E6F">
              <w:t>Порогові рівні речовин:</w:t>
            </w: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5713"/>
            </w:tblGrid>
            <w:tr w:rsidR="00752E7A" w:rsidRPr="00B74E6F" w:rsidTr="00F303A8">
              <w:trPr>
                <w:trHeight w:val="169"/>
              </w:trPr>
              <w:tc>
                <w:tcPr>
                  <w:tcW w:w="1593" w:type="dxa"/>
                </w:tcPr>
                <w:p w:rsidR="00752E7A" w:rsidRPr="00B74E6F" w:rsidRDefault="00752E7A" w:rsidP="00752E7A">
                  <w:pPr>
                    <w:pStyle w:val="a4"/>
                    <w:rPr>
                      <w:bCs/>
                      <w:i/>
                      <w:iCs/>
                      <w:sz w:val="20"/>
                      <w:szCs w:val="20"/>
                    </w:rPr>
                  </w:pPr>
                  <w:r w:rsidRPr="00B74E6F">
                    <w:rPr>
                      <w:bCs/>
                      <w:iCs/>
                      <w:sz w:val="20"/>
                      <w:szCs w:val="20"/>
                      <w:u w:val="single"/>
                    </w:rPr>
                    <w:t>Речовина</w:t>
                  </w:r>
                </w:p>
              </w:tc>
              <w:tc>
                <w:tcPr>
                  <w:tcW w:w="5713" w:type="dxa"/>
                </w:tcPr>
                <w:p w:rsidR="00752E7A" w:rsidRPr="00B74E6F" w:rsidRDefault="00752E7A" w:rsidP="00752E7A">
                  <w:pPr>
                    <w:pStyle w:val="a4"/>
                    <w:rPr>
                      <w:bCs/>
                      <w:i/>
                      <w:iCs/>
                      <w:sz w:val="20"/>
                      <w:szCs w:val="20"/>
                    </w:rPr>
                  </w:pPr>
                  <w:r w:rsidRPr="00B74E6F">
                    <w:rPr>
                      <w:bCs/>
                      <w:iCs/>
                      <w:sz w:val="20"/>
                      <w:szCs w:val="20"/>
                      <w:u w:val="single"/>
                    </w:rPr>
                    <w:t>Пороговий рівень</w:t>
                  </w:r>
                </w:p>
              </w:tc>
            </w:tr>
            <w:tr w:rsidR="00752E7A" w:rsidRPr="00B74E6F" w:rsidTr="00F303A8">
              <w:trPr>
                <w:trHeight w:val="1694"/>
              </w:trPr>
              <w:tc>
                <w:tcPr>
                  <w:tcW w:w="1593" w:type="dxa"/>
                </w:tcPr>
                <w:p w:rsidR="00752E7A" w:rsidRPr="00B74E6F" w:rsidRDefault="00752E7A" w:rsidP="00752E7A">
                  <w:pPr>
                    <w:pStyle w:val="a4"/>
                    <w:rPr>
                      <w:sz w:val="20"/>
                      <w:szCs w:val="20"/>
                    </w:rPr>
                  </w:pPr>
                  <w:r w:rsidRPr="00B74E6F">
                    <w:rPr>
                      <w:sz w:val="20"/>
                      <w:szCs w:val="20"/>
                    </w:rPr>
                    <w:t>Білок</w:t>
                  </w:r>
                </w:p>
                <w:p w:rsidR="00752E7A" w:rsidRPr="00B74E6F" w:rsidRDefault="00752E7A" w:rsidP="00752E7A">
                  <w:pPr>
                    <w:pStyle w:val="a4"/>
                    <w:rPr>
                      <w:sz w:val="20"/>
                      <w:szCs w:val="20"/>
                    </w:rPr>
                  </w:pPr>
                  <w:r w:rsidRPr="00B74E6F">
                    <w:rPr>
                      <w:sz w:val="20"/>
                      <w:szCs w:val="20"/>
                    </w:rPr>
                    <w:t>Глюкоза</w:t>
                  </w:r>
                </w:p>
                <w:p w:rsidR="00752E7A" w:rsidRPr="00B74E6F" w:rsidRDefault="00752E7A" w:rsidP="00752E7A">
                  <w:pPr>
                    <w:pStyle w:val="a4"/>
                    <w:rPr>
                      <w:sz w:val="20"/>
                      <w:szCs w:val="20"/>
                    </w:rPr>
                  </w:pPr>
                  <w:r w:rsidRPr="00B74E6F">
                    <w:rPr>
                      <w:sz w:val="20"/>
                      <w:szCs w:val="20"/>
                    </w:rPr>
                    <w:t>Кетони</w:t>
                  </w:r>
                </w:p>
                <w:p w:rsidR="00752E7A" w:rsidRPr="00B74E6F" w:rsidRDefault="00752E7A" w:rsidP="00752E7A">
                  <w:pPr>
                    <w:pStyle w:val="a4"/>
                    <w:rPr>
                      <w:sz w:val="20"/>
                      <w:szCs w:val="20"/>
                    </w:rPr>
                  </w:pPr>
                  <w:proofErr w:type="spellStart"/>
                  <w:r w:rsidRPr="00B74E6F">
                    <w:rPr>
                      <w:sz w:val="20"/>
                      <w:szCs w:val="20"/>
                    </w:rPr>
                    <w:t>Уробіліноген</w:t>
                  </w:r>
                  <w:proofErr w:type="spellEnd"/>
                </w:p>
                <w:p w:rsidR="00752E7A" w:rsidRPr="00B74E6F" w:rsidRDefault="00752E7A" w:rsidP="00752E7A">
                  <w:pPr>
                    <w:pStyle w:val="a4"/>
                    <w:rPr>
                      <w:sz w:val="20"/>
                      <w:szCs w:val="20"/>
                    </w:rPr>
                  </w:pPr>
                  <w:r w:rsidRPr="00B74E6F">
                    <w:rPr>
                      <w:sz w:val="20"/>
                      <w:szCs w:val="20"/>
                    </w:rPr>
                    <w:t>Білірубін</w:t>
                  </w:r>
                </w:p>
                <w:p w:rsidR="00752E7A" w:rsidRPr="00B74E6F" w:rsidRDefault="00752E7A" w:rsidP="00752E7A">
                  <w:pPr>
                    <w:pStyle w:val="a4"/>
                    <w:rPr>
                      <w:sz w:val="20"/>
                      <w:szCs w:val="20"/>
                    </w:rPr>
                  </w:pPr>
                  <w:r w:rsidRPr="00B74E6F">
                    <w:rPr>
                      <w:sz w:val="20"/>
                      <w:szCs w:val="20"/>
                    </w:rPr>
                    <w:t xml:space="preserve">Питома вага   </w:t>
                  </w:r>
                </w:p>
                <w:p w:rsidR="00752E7A" w:rsidRPr="00B74E6F" w:rsidRDefault="00752E7A" w:rsidP="00752E7A">
                  <w:pPr>
                    <w:pStyle w:val="a4"/>
                    <w:rPr>
                      <w:sz w:val="20"/>
                      <w:szCs w:val="20"/>
                    </w:rPr>
                  </w:pPr>
                  <w:r w:rsidRPr="00B74E6F">
                    <w:rPr>
                      <w:sz w:val="20"/>
                      <w:szCs w:val="20"/>
                    </w:rPr>
                    <w:t>Кров</w:t>
                  </w:r>
                </w:p>
                <w:p w:rsidR="00752E7A" w:rsidRPr="00B74E6F" w:rsidRDefault="00752E7A" w:rsidP="00752E7A">
                  <w:pPr>
                    <w:pStyle w:val="a4"/>
                    <w:rPr>
                      <w:sz w:val="20"/>
                      <w:szCs w:val="20"/>
                    </w:rPr>
                  </w:pPr>
                  <w:proofErr w:type="spellStart"/>
                  <w:r w:rsidRPr="00B74E6F">
                    <w:rPr>
                      <w:sz w:val="20"/>
                      <w:szCs w:val="20"/>
                    </w:rPr>
                    <w:t>рН</w:t>
                  </w:r>
                  <w:proofErr w:type="spellEnd"/>
                  <w:r w:rsidRPr="00B74E6F">
                    <w:rPr>
                      <w:sz w:val="20"/>
                      <w:szCs w:val="20"/>
                    </w:rPr>
                    <w:t xml:space="preserve">     </w:t>
                  </w:r>
                </w:p>
                <w:p w:rsidR="00752E7A" w:rsidRPr="00B74E6F" w:rsidRDefault="00752E7A" w:rsidP="00752E7A">
                  <w:pPr>
                    <w:pStyle w:val="a4"/>
                    <w:rPr>
                      <w:sz w:val="20"/>
                      <w:szCs w:val="20"/>
                      <w:lang w:val="en-US"/>
                    </w:rPr>
                  </w:pPr>
                  <w:r w:rsidRPr="00B74E6F">
                    <w:rPr>
                      <w:sz w:val="20"/>
                      <w:szCs w:val="20"/>
                    </w:rPr>
                    <w:t xml:space="preserve">Лейкоцити  </w:t>
                  </w:r>
                </w:p>
                <w:p w:rsidR="00752E7A" w:rsidRPr="00B74E6F" w:rsidRDefault="00752E7A" w:rsidP="00752E7A">
                  <w:pPr>
                    <w:pStyle w:val="a4"/>
                    <w:rPr>
                      <w:sz w:val="20"/>
                      <w:szCs w:val="20"/>
                    </w:rPr>
                  </w:pPr>
                  <w:r w:rsidRPr="00B74E6F">
                    <w:rPr>
                      <w:sz w:val="20"/>
                      <w:szCs w:val="20"/>
                    </w:rPr>
                    <w:t xml:space="preserve">Нітрити             </w:t>
                  </w:r>
                </w:p>
              </w:tc>
              <w:tc>
                <w:tcPr>
                  <w:tcW w:w="5713" w:type="dxa"/>
                </w:tcPr>
                <w:p w:rsidR="00752E7A" w:rsidRPr="00B74E6F" w:rsidRDefault="00752E7A" w:rsidP="00752E7A">
                  <w:pPr>
                    <w:pStyle w:val="a4"/>
                    <w:rPr>
                      <w:sz w:val="20"/>
                      <w:szCs w:val="20"/>
                    </w:rPr>
                  </w:pPr>
                  <w:r w:rsidRPr="00B74E6F">
                    <w:rPr>
                      <w:sz w:val="20"/>
                      <w:szCs w:val="20"/>
                    </w:rPr>
                    <w:t>10-15 мг/</w:t>
                  </w:r>
                  <w:proofErr w:type="spellStart"/>
                  <w:r w:rsidRPr="00B74E6F">
                    <w:rPr>
                      <w:sz w:val="20"/>
                      <w:szCs w:val="20"/>
                    </w:rPr>
                    <w:t>дл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50 мг/</w:t>
                  </w:r>
                  <w:proofErr w:type="spellStart"/>
                  <w:r w:rsidRPr="00B74E6F">
                    <w:rPr>
                      <w:sz w:val="20"/>
                      <w:szCs w:val="20"/>
                    </w:rPr>
                    <w:t>дл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5 мг/</w:t>
                  </w:r>
                  <w:proofErr w:type="spellStart"/>
                  <w:r w:rsidRPr="00B74E6F">
                    <w:rPr>
                      <w:sz w:val="20"/>
                      <w:szCs w:val="20"/>
                    </w:rPr>
                    <w:t>дл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 xml:space="preserve">1 од. </w:t>
                  </w:r>
                  <w:proofErr w:type="spellStart"/>
                  <w:r w:rsidRPr="00B74E6F">
                    <w:rPr>
                      <w:sz w:val="20"/>
                      <w:szCs w:val="20"/>
                    </w:rPr>
                    <w:t>Ерліха</w:t>
                  </w:r>
                  <w:proofErr w:type="spellEnd"/>
                  <w:r w:rsidRPr="00B74E6F">
                    <w:rPr>
                      <w:sz w:val="20"/>
                      <w:szCs w:val="20"/>
                    </w:rPr>
                    <w:t>/</w:t>
                  </w:r>
                  <w:proofErr w:type="spellStart"/>
                  <w:r w:rsidRPr="00B74E6F">
                    <w:rPr>
                      <w:sz w:val="20"/>
                      <w:szCs w:val="20"/>
                    </w:rPr>
                    <w:t>дл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0,5 мг/</w:t>
                  </w:r>
                  <w:proofErr w:type="spellStart"/>
                  <w:r w:rsidRPr="00B74E6F">
                    <w:rPr>
                      <w:sz w:val="20"/>
                      <w:szCs w:val="20"/>
                    </w:rPr>
                    <w:t>дл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Від 1,000 до 1,030 з кроком 0,005</w:t>
                  </w:r>
                </w:p>
                <w:p w:rsidR="00752E7A" w:rsidRPr="00B74E6F" w:rsidRDefault="00752E7A" w:rsidP="00752E7A">
                  <w:pPr>
                    <w:pStyle w:val="a4"/>
                    <w:rPr>
                      <w:sz w:val="20"/>
                      <w:szCs w:val="20"/>
                    </w:rPr>
                  </w:pPr>
                  <w:r w:rsidRPr="00B74E6F">
                    <w:rPr>
                      <w:sz w:val="20"/>
                      <w:szCs w:val="20"/>
                    </w:rPr>
                    <w:t>10 Ер/</w:t>
                  </w:r>
                  <w:proofErr w:type="spellStart"/>
                  <w:r w:rsidRPr="00B74E6F">
                    <w:rPr>
                      <w:sz w:val="20"/>
                      <w:szCs w:val="20"/>
                    </w:rPr>
                    <w:t>мкл</w:t>
                  </w:r>
                  <w:proofErr w:type="spellEnd"/>
                  <w:r w:rsidRPr="00B74E6F">
                    <w:rPr>
                      <w:sz w:val="20"/>
                      <w:szCs w:val="20"/>
                    </w:rPr>
                    <w:t>.</w:t>
                  </w:r>
                </w:p>
                <w:p w:rsidR="00752E7A" w:rsidRPr="00B74E6F" w:rsidRDefault="00752E7A" w:rsidP="00752E7A">
                  <w:pPr>
                    <w:pStyle w:val="a4"/>
                    <w:rPr>
                      <w:sz w:val="20"/>
                      <w:szCs w:val="20"/>
                    </w:rPr>
                  </w:pPr>
                  <w:r w:rsidRPr="00B74E6F">
                    <w:rPr>
                      <w:sz w:val="20"/>
                      <w:szCs w:val="20"/>
                    </w:rPr>
                    <w:t>Від 5 до 9 з точністю до 1 одиниці.</w:t>
                  </w:r>
                </w:p>
                <w:p w:rsidR="00752E7A" w:rsidRPr="00B74E6F" w:rsidRDefault="00752E7A" w:rsidP="00752E7A">
                  <w:pPr>
                    <w:pStyle w:val="a4"/>
                    <w:rPr>
                      <w:sz w:val="20"/>
                      <w:szCs w:val="20"/>
                    </w:rPr>
                  </w:pPr>
                  <w:r w:rsidRPr="00B74E6F">
                    <w:rPr>
                      <w:sz w:val="20"/>
                      <w:szCs w:val="20"/>
                    </w:rPr>
                    <w:t>20-25 Лей/</w:t>
                  </w:r>
                  <w:proofErr w:type="spellStart"/>
                  <w:r w:rsidRPr="00B74E6F">
                    <w:rPr>
                      <w:sz w:val="20"/>
                      <w:szCs w:val="20"/>
                    </w:rPr>
                    <w:t>мкл</w:t>
                  </w:r>
                  <w:proofErr w:type="spellEnd"/>
                </w:p>
                <w:p w:rsidR="00752E7A" w:rsidRPr="00B74E6F" w:rsidRDefault="00752E7A" w:rsidP="00752E7A">
                  <w:pPr>
                    <w:pStyle w:val="a4"/>
                    <w:rPr>
                      <w:sz w:val="20"/>
                      <w:szCs w:val="20"/>
                    </w:rPr>
                  </w:pPr>
                  <w:r w:rsidRPr="00B74E6F">
                    <w:rPr>
                      <w:sz w:val="20"/>
                      <w:szCs w:val="20"/>
                    </w:rPr>
                    <w:t>0,05 мг/</w:t>
                  </w:r>
                  <w:proofErr w:type="spellStart"/>
                  <w:r w:rsidRPr="00B74E6F">
                    <w:rPr>
                      <w:sz w:val="20"/>
                      <w:szCs w:val="20"/>
                    </w:rPr>
                    <w:t>дл</w:t>
                  </w:r>
                  <w:proofErr w:type="spellEnd"/>
                  <w:r w:rsidRPr="00B74E6F">
                    <w:rPr>
                      <w:sz w:val="20"/>
                      <w:szCs w:val="20"/>
                    </w:rPr>
                    <w:t xml:space="preserve"> нітрит іонів</w:t>
                  </w:r>
                </w:p>
              </w:tc>
            </w:tr>
          </w:tbl>
          <w:p w:rsidR="00752E7A" w:rsidRPr="00B74E6F" w:rsidRDefault="00752E7A" w:rsidP="00752E7A">
            <w:pPr>
              <w:pStyle w:val="a4"/>
            </w:pPr>
            <w:r w:rsidRPr="00B74E6F">
              <w:t>Тести зберігаються при кімнатній температурі від +2до +30 С</w:t>
            </w:r>
          </w:p>
          <w:p w:rsidR="00752E7A" w:rsidRPr="00B74E6F" w:rsidRDefault="00752E7A" w:rsidP="00752E7A">
            <w:pPr>
              <w:pStyle w:val="a4"/>
            </w:pPr>
            <w:r w:rsidRPr="00B74E6F">
              <w:t xml:space="preserve">Термін придатності тестів 24 місяці при зберіганні смужок в контейнері </w:t>
            </w:r>
          </w:p>
          <w:p w:rsidR="00752E7A" w:rsidRPr="00B74E6F" w:rsidRDefault="00752E7A" w:rsidP="00752E7A">
            <w:pPr>
              <w:pStyle w:val="a4"/>
            </w:pPr>
            <w:r w:rsidRPr="00B74E6F">
              <w:t>Після відкриття контейнеру смужки стабільні протягом 6 місяців</w:t>
            </w:r>
          </w:p>
          <w:p w:rsidR="00752E7A" w:rsidRPr="00B74E6F" w:rsidRDefault="00752E7A" w:rsidP="00752E7A">
            <w:pPr>
              <w:pStyle w:val="a4"/>
            </w:pPr>
            <w:r w:rsidRPr="00B74E6F">
              <w:t>В наявності є компенсаторна зона, яка слугує маркером придатності для роботи з аналізатором.</w:t>
            </w:r>
          </w:p>
          <w:p w:rsidR="00752E7A" w:rsidRPr="00B74E6F" w:rsidRDefault="00752E7A" w:rsidP="00752E7A">
            <w:pPr>
              <w:pStyle w:val="a4"/>
              <w:rPr>
                <w:bCs/>
              </w:rPr>
            </w:pPr>
            <w:r w:rsidRPr="00B74E6F">
              <w:t xml:space="preserve">Використовується виключно з аналізатором сечі CITOLAB READER 300 </w:t>
            </w:r>
          </w:p>
          <w:p w:rsidR="00752E7A" w:rsidRPr="00972DEC" w:rsidRDefault="00752E7A" w:rsidP="00752E7A">
            <w:pPr>
              <w:pStyle w:val="a4"/>
            </w:pP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54517</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9.</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Холестерин загальний. Набір реагентів які містять: карбонатний буфер, </w:t>
            </w:r>
            <w:proofErr w:type="spellStart"/>
            <w:r w:rsidRPr="00972DEC">
              <w:t>холестрериноксидаза</w:t>
            </w:r>
            <w:proofErr w:type="spellEnd"/>
            <w:r w:rsidRPr="00972DEC">
              <w:t xml:space="preserve">, </w:t>
            </w:r>
            <w:proofErr w:type="spellStart"/>
            <w:r w:rsidRPr="00972DEC">
              <w:t>холестеринпероксидаза</w:t>
            </w:r>
            <w:proofErr w:type="spellEnd"/>
            <w:r w:rsidRPr="00972DEC">
              <w:t xml:space="preserve">, фенол, </w:t>
            </w:r>
            <w:proofErr w:type="spellStart"/>
            <w:r w:rsidRPr="00972DEC">
              <w:t>пероксидаза</w:t>
            </w:r>
            <w:proofErr w:type="spellEnd"/>
            <w:r w:rsidRPr="00972DEC">
              <w:t xml:space="preserve">, 4-амінофеназон. Метод: колориметричний. Діапазон лінійності: до 20,69 ммоль/л. Чутливість: 0,07 ммоль/л.. </w:t>
            </w:r>
            <w:proofErr w:type="spellStart"/>
            <w:r w:rsidRPr="00972DEC">
              <w:t>Внутрішньосерійна</w:t>
            </w:r>
            <w:proofErr w:type="spellEnd"/>
            <w:r w:rsidRPr="00972DEC">
              <w:t xml:space="preserve"> точність набору повинна бути зі значенням CV не менше 2,0% (на нормальних) та 1,8% (на патологічних значеннях). Реагент 1 (1х250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3</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53359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10.</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Білірубін прямий. Набір реагентів, які містять </w:t>
            </w:r>
            <w:proofErr w:type="spellStart"/>
            <w:r w:rsidRPr="00972DEC">
              <w:t>сульфанілова</w:t>
            </w:r>
            <w:proofErr w:type="spellEnd"/>
            <w:r w:rsidRPr="00972DEC">
              <w:t xml:space="preserve"> кислота, нітрит натрію. Метод: </w:t>
            </w:r>
            <w:r w:rsidRPr="00972DEC">
              <w:lastRenderedPageBreak/>
              <w:t xml:space="preserve">кінцева точка. Лінійність: не менше 170 </w:t>
            </w:r>
            <w:proofErr w:type="spellStart"/>
            <w:r w:rsidRPr="00972DEC">
              <w:t>мкмоль</w:t>
            </w:r>
            <w:proofErr w:type="spellEnd"/>
            <w:r w:rsidRPr="00972DEC">
              <w:t xml:space="preserve">/л. Чутливість: не гірше 0,65 </w:t>
            </w:r>
            <w:proofErr w:type="spellStart"/>
            <w:r w:rsidRPr="00972DEC">
              <w:t>мкмоль</w:t>
            </w:r>
            <w:proofErr w:type="spellEnd"/>
            <w:r w:rsidRPr="00972DEC">
              <w:t>/л. CV відтворюваності, %: не менше 2,65 (норма) та 1,9 (патологія).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5</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наборів</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53233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11.</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Білірубін загальний. Набір реагентів, які містять </w:t>
            </w:r>
            <w:proofErr w:type="spellStart"/>
            <w:r w:rsidRPr="00972DEC">
              <w:t>сульфанілова</w:t>
            </w:r>
            <w:proofErr w:type="spellEnd"/>
            <w:r w:rsidRPr="00972DEC">
              <w:t xml:space="preserve"> кислота, лимонна кислота, кофеїн, нітрит натрію. Метод: кінцева точка. Лінійність: не менше 425 </w:t>
            </w:r>
            <w:proofErr w:type="spellStart"/>
            <w:r w:rsidRPr="00972DEC">
              <w:t>мкмоль</w:t>
            </w:r>
            <w:proofErr w:type="spellEnd"/>
            <w:r w:rsidRPr="00972DEC">
              <w:t xml:space="preserve">/л. Чутливість: не гірше 0,68 </w:t>
            </w:r>
            <w:proofErr w:type="spellStart"/>
            <w:r w:rsidRPr="00972DEC">
              <w:t>мкмоль</w:t>
            </w:r>
            <w:proofErr w:type="spellEnd"/>
            <w:r w:rsidRPr="00972DEC">
              <w:t>/л. CV відтворюваності, %: не менше 2,71 (норма) та 1,8 (патологія).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наборів</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53229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12.</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Креатенін</w:t>
            </w:r>
            <w:proofErr w:type="spellEnd"/>
            <w:r w:rsidRPr="00972DEC">
              <w:t xml:space="preserve">. Набір реагентів, які містять: гідроксид літію, кислота борна, пікринова кислота. Метод: колориметричний метод </w:t>
            </w:r>
            <w:proofErr w:type="spellStart"/>
            <w:r w:rsidRPr="00972DEC">
              <w:t>Яффе</w:t>
            </w:r>
            <w:proofErr w:type="spellEnd"/>
            <w:r w:rsidRPr="00972DEC">
              <w:t xml:space="preserve"> (без </w:t>
            </w:r>
            <w:proofErr w:type="spellStart"/>
            <w:r w:rsidRPr="00972DEC">
              <w:t>депротеїнізації</w:t>
            </w:r>
            <w:proofErr w:type="spellEnd"/>
            <w:r w:rsidRPr="00972DEC">
              <w:t xml:space="preserve">). Лінійність: до 2210 </w:t>
            </w:r>
            <w:proofErr w:type="spellStart"/>
            <w:r w:rsidRPr="00972DEC">
              <w:t>мкмоль</w:t>
            </w:r>
            <w:proofErr w:type="spellEnd"/>
            <w:r w:rsidRPr="00972DEC">
              <w:t>/л. CV відтворюваності, %: не менше 4,1 (для норми) та 2,0 (для патологічних значень). Реагент 1 (3х50 мл) + Реагент 2 (3х50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53251</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13.</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Сечовина. Набір реагентів які містять: буферні розчини (</w:t>
            </w:r>
            <w:proofErr w:type="spellStart"/>
            <w:r w:rsidRPr="00972DEC">
              <w:t>рН</w:t>
            </w:r>
            <w:proofErr w:type="spellEnd"/>
            <w:r w:rsidRPr="00972DEC">
              <w:t xml:space="preserve"> 7,6 та 10,2), АДФ, Уреаза (8 000 Од/л), </w:t>
            </w:r>
            <w:proofErr w:type="spellStart"/>
            <w:r w:rsidRPr="00972DEC">
              <w:t>ГлДГ</w:t>
            </w:r>
            <w:proofErr w:type="spellEnd"/>
            <w:r w:rsidRPr="00972DEC">
              <w:t>, альфа-</w:t>
            </w:r>
            <w:proofErr w:type="spellStart"/>
            <w:r w:rsidRPr="00972DEC">
              <w:t>кетоглуторат</w:t>
            </w:r>
            <w:proofErr w:type="spellEnd"/>
            <w:r w:rsidRPr="00972DEC">
              <w:t xml:space="preserve">, НАДН. Метод: 33,3 ммоль/л. Лінійність: до 33,3 ммоль/л. Чутливість: 0,50 ммоль/л. Довжина хвилі: 340 нм. </w:t>
            </w:r>
            <w:proofErr w:type="spellStart"/>
            <w:r w:rsidRPr="00972DEC">
              <w:t>Внутрішньосерійна</w:t>
            </w:r>
            <w:proofErr w:type="spellEnd"/>
            <w:r w:rsidRPr="00972DEC">
              <w:t xml:space="preserve"> точність набору повинна бути зі значенням CV не менше 3,7% (на нормальних) та 1,4% (на патологічних значеннях). Реагент 1 (5X40 мл) + Реагент 2 (1X50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53587</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14.</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Сечова кислота. Набір реагентів які містять: буфер, </w:t>
            </w:r>
            <w:proofErr w:type="spellStart"/>
            <w:r w:rsidRPr="00972DEC">
              <w:t>аскорбатоксидаза</w:t>
            </w:r>
            <w:proofErr w:type="spellEnd"/>
            <w:r w:rsidRPr="00972DEC">
              <w:t xml:space="preserve">, 3,5-діхлорфенолсульфонат, 4-амінофеназон, </w:t>
            </w:r>
            <w:proofErr w:type="spellStart"/>
            <w:r w:rsidRPr="00972DEC">
              <w:t>пероксидаза</w:t>
            </w:r>
            <w:proofErr w:type="spellEnd"/>
            <w:r w:rsidRPr="00972DEC">
              <w:t xml:space="preserve">, уреаза. Метод: </w:t>
            </w:r>
            <w:proofErr w:type="spellStart"/>
            <w:r w:rsidRPr="00972DEC">
              <w:t>уріказний</w:t>
            </w:r>
            <w:proofErr w:type="spellEnd"/>
            <w:r w:rsidRPr="00972DEC">
              <w:t xml:space="preserve">. Діапазон лінійності: до 1,5 ммоль/л. Чутливість: 0,03 ммоль/л. Стабільність реагентів після відкриття флаконів повинна бути не менше 90 діб. </w:t>
            </w:r>
            <w:proofErr w:type="spellStart"/>
            <w:r w:rsidRPr="00972DEC">
              <w:t>Внутрішньосерійна</w:t>
            </w:r>
            <w:proofErr w:type="spellEnd"/>
            <w:r w:rsidRPr="00972DEC">
              <w:t xml:space="preserve"> точність набору повинна бути зі значенням CV не менше 3,0% (на нормальних) та 2,6% (на патологічних значеннях).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53583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15.</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Аланінамінотрансфераза</w:t>
            </w:r>
            <w:proofErr w:type="spellEnd"/>
            <w:r w:rsidRPr="00972DEC">
              <w:t xml:space="preserve">  (АЛТ) (кінетичний метод) Набір реагентів, які містять L-аланін, </w:t>
            </w:r>
            <w:r w:rsidRPr="00972DEC">
              <w:lastRenderedPageBreak/>
              <w:t>ЛДГ, а-</w:t>
            </w:r>
            <w:proofErr w:type="spellStart"/>
            <w:r w:rsidRPr="00972DEC">
              <w:t>кетоглутарат</w:t>
            </w:r>
            <w:proofErr w:type="spellEnd"/>
            <w:r w:rsidRPr="00972DEC">
              <w:t>, НАДН. Метод: кінетичний, оптимізований IFCC. Лінійність: до 400 Од/л. Чутливість: не гірше 2,5 Од/л. CV відтворюваності, %: не менше 3,36 (норма) та 1,78 (патологія). Реагент 1 (1х200 мл) + Реагент 2 (1х50мл).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1</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52923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16.</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Аспартатамінотрансфераза</w:t>
            </w:r>
            <w:proofErr w:type="spellEnd"/>
            <w:r w:rsidRPr="00972DEC">
              <w:t xml:space="preserve"> (АСТ) (кінетичний метод) Набір реагентів, які містять буфер (</w:t>
            </w:r>
            <w:proofErr w:type="spellStart"/>
            <w:r w:rsidRPr="00972DEC">
              <w:t>рН</w:t>
            </w:r>
            <w:proofErr w:type="spellEnd"/>
            <w:r w:rsidRPr="00972DEC">
              <w:t xml:space="preserve"> 7,8), L-</w:t>
            </w:r>
            <w:proofErr w:type="spellStart"/>
            <w:r w:rsidRPr="00972DEC">
              <w:t>аспартат</w:t>
            </w:r>
            <w:proofErr w:type="spellEnd"/>
            <w:r w:rsidRPr="00972DEC">
              <w:t>, ЛДГ, МДГ, альфа-</w:t>
            </w:r>
            <w:proofErr w:type="spellStart"/>
            <w:r w:rsidRPr="00972DEC">
              <w:t>кетоглутарат</w:t>
            </w:r>
            <w:proofErr w:type="spellEnd"/>
            <w:r w:rsidRPr="00972DEC">
              <w:t>, НАДН. Метод: кінетичний, оптимізований IFCC. Лінійність: до 400 Од/л. Чутливість: не гірше 2,4 Од/л. CV відтворюваності, %: не менше 3,25 (норма) та 1,63 (патологія). Реагент 1 (1х200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52954</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17.</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Фосфатаза лужна. Набір реагентів, які містять: </w:t>
            </w:r>
            <w:proofErr w:type="spellStart"/>
            <w:r w:rsidRPr="00972DEC">
              <w:t>Діеталаміновий</w:t>
            </w:r>
            <w:proofErr w:type="spellEnd"/>
            <w:r w:rsidRPr="00972DEC">
              <w:t xml:space="preserve"> буфер, магнію хлорид, р-</w:t>
            </w:r>
            <w:proofErr w:type="spellStart"/>
            <w:r w:rsidRPr="00972DEC">
              <w:t>нітрофенілфосфат</w:t>
            </w:r>
            <w:proofErr w:type="spellEnd"/>
            <w:r w:rsidRPr="00972DEC">
              <w:t>. Метод: кінетичний, з ДЕА DGKC. Лінійність: не менше 1600 Од/л. Чутливість: не гірше 9,80 Од/л. CV відтворюваності, %: не менше 1,27 (норма) та 0,73 (патологія).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52928</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18.</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Глюкоза. Набір реагентів, які містять фосфатний буфер (</w:t>
            </w:r>
            <w:proofErr w:type="spellStart"/>
            <w:r w:rsidRPr="00972DEC">
              <w:t>рН</w:t>
            </w:r>
            <w:proofErr w:type="spellEnd"/>
            <w:r w:rsidRPr="00972DEC">
              <w:t xml:space="preserve"> 7,4), фенол, GOD, POD, 4-амінофеназон. Метод: кінцева точка. Лінійність: до 34,6 ммоль/л. Чутливість: не гірше 0,2 ммоль/л CV відтворюваності, %: не менше 3,12 (норма) та 1,14 (патологія). Реагент 1 (1х250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53301</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19.</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Біохімічний </w:t>
            </w:r>
            <w:proofErr w:type="spellStart"/>
            <w:r w:rsidRPr="00972DEC">
              <w:t>мультикалібратор</w:t>
            </w:r>
            <w:proofErr w:type="spellEnd"/>
            <w:r w:rsidRPr="00972DEC">
              <w:t xml:space="preserve">. Флакони, які повинні містити </w:t>
            </w:r>
            <w:proofErr w:type="spellStart"/>
            <w:r w:rsidRPr="00972DEC">
              <w:t>ліофілізовану</w:t>
            </w:r>
            <w:proofErr w:type="spellEnd"/>
            <w:r w:rsidRPr="00972DEC">
              <w:t xml:space="preserve">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(6х3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1</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30216</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bookmarkStart w:id="0" w:name="_GoBack" w:colFirst="1" w:colLast="1"/>
            <w:r>
              <w:t>20.</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Контроль біохімічних показників, рівень норма. Флакони, які повинні містити </w:t>
            </w:r>
            <w:proofErr w:type="spellStart"/>
            <w:r w:rsidRPr="00972DEC">
              <w:t>ліофілізовану</w:t>
            </w:r>
            <w:proofErr w:type="spellEnd"/>
            <w:r w:rsidRPr="00972DEC">
              <w:t xml:space="preserve">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Реагент (6х5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41823</w:t>
            </w:r>
          </w:p>
        </w:tc>
      </w:tr>
      <w:bookmarkEnd w:id="0"/>
    </w:tbl>
    <w:p w:rsidR="00752E7A" w:rsidRPr="00972DEC" w:rsidRDefault="00752E7A" w:rsidP="00752E7A">
      <w:pPr>
        <w:pStyle w:val="a4"/>
      </w:pPr>
    </w:p>
    <w:p w:rsidR="00752E7A" w:rsidRPr="00960EDD" w:rsidRDefault="00752E7A" w:rsidP="00752E7A">
      <w:pPr>
        <w:pStyle w:val="a4"/>
        <w:rPr>
          <w:bCs/>
        </w:rPr>
      </w:pPr>
    </w:p>
    <w:sectPr w:rsidR="00752E7A" w:rsidRPr="00960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4DA"/>
    <w:multiLevelType w:val="hybridMultilevel"/>
    <w:tmpl w:val="3EE8D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365755"/>
    <w:multiLevelType w:val="hybridMultilevel"/>
    <w:tmpl w:val="1F64AA3C"/>
    <w:lvl w:ilvl="0" w:tplc="DC7CFD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423A08"/>
    <w:multiLevelType w:val="hybridMultilevel"/>
    <w:tmpl w:val="87C29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6B3C04"/>
    <w:multiLevelType w:val="hybridMultilevel"/>
    <w:tmpl w:val="DE4CC58E"/>
    <w:lvl w:ilvl="0" w:tplc="0422000F">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374BAC"/>
    <w:multiLevelType w:val="hybridMultilevel"/>
    <w:tmpl w:val="FC8AF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644215"/>
    <w:multiLevelType w:val="hybridMultilevel"/>
    <w:tmpl w:val="E7F069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781417"/>
    <w:multiLevelType w:val="multilevel"/>
    <w:tmpl w:val="ABE603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1"/>
  </w:num>
  <w:num w:numId="4">
    <w:abstractNumId w:val="8"/>
  </w:num>
  <w:num w:numId="5">
    <w:abstractNumId w:val="12"/>
  </w:num>
  <w:num w:numId="6">
    <w:abstractNumId w:val="13"/>
  </w:num>
  <w:num w:numId="7">
    <w:abstractNumId w:val="4"/>
  </w:num>
  <w:num w:numId="8">
    <w:abstractNumId w:val="2"/>
  </w:num>
  <w:num w:numId="9">
    <w:abstractNumId w:val="11"/>
  </w:num>
  <w:num w:numId="10">
    <w:abstractNumId w:val="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54"/>
    <w:rsid w:val="00267654"/>
    <w:rsid w:val="00272F4D"/>
    <w:rsid w:val="002C22E8"/>
    <w:rsid w:val="003C4633"/>
    <w:rsid w:val="00410488"/>
    <w:rsid w:val="0042149C"/>
    <w:rsid w:val="005265D3"/>
    <w:rsid w:val="00567DE8"/>
    <w:rsid w:val="005C5B6A"/>
    <w:rsid w:val="00623622"/>
    <w:rsid w:val="00654C2A"/>
    <w:rsid w:val="0068343E"/>
    <w:rsid w:val="006C7720"/>
    <w:rsid w:val="00752E7A"/>
    <w:rsid w:val="0082370D"/>
    <w:rsid w:val="00826CDC"/>
    <w:rsid w:val="00837D64"/>
    <w:rsid w:val="008C5884"/>
    <w:rsid w:val="00960EDD"/>
    <w:rsid w:val="009648F8"/>
    <w:rsid w:val="009834B5"/>
    <w:rsid w:val="00A027ED"/>
    <w:rsid w:val="00A15296"/>
    <w:rsid w:val="00AC2E55"/>
    <w:rsid w:val="00B44074"/>
    <w:rsid w:val="00B92EBF"/>
    <w:rsid w:val="00C03163"/>
    <w:rsid w:val="00C41427"/>
    <w:rsid w:val="00C52FD4"/>
    <w:rsid w:val="00D430C1"/>
    <w:rsid w:val="00D62A42"/>
    <w:rsid w:val="00D62B64"/>
    <w:rsid w:val="00E04DEB"/>
    <w:rsid w:val="00E66B90"/>
    <w:rsid w:val="00E76C0C"/>
    <w:rsid w:val="00F10D5F"/>
    <w:rsid w:val="00F45906"/>
    <w:rsid w:val="00F461B8"/>
    <w:rsid w:val="00F62C6B"/>
    <w:rsid w:val="00FC07CA"/>
    <w:rsid w:val="00FE3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35A2-F4C1-4189-9BA6-F9284B1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E8"/>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3622"/>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654C2A"/>
    <w:pPr>
      <w:spacing w:after="0" w:line="240" w:lineRule="auto"/>
    </w:pPr>
    <w:rPr>
      <w:rFonts w:ascii="Times New Roman" w:eastAsia="Times New Roman" w:hAnsi="Times New Roman" w:cs="Times New Roman"/>
      <w:sz w:val="28"/>
    </w:rPr>
  </w:style>
  <w:style w:type="paragraph" w:styleId="a5">
    <w:name w:val="List Paragraph"/>
    <w:basedOn w:val="a"/>
    <w:uiPriority w:val="34"/>
    <w:qFormat/>
    <w:rsid w:val="00654C2A"/>
    <w:pPr>
      <w:ind w:left="720"/>
      <w:contextualSpacing/>
    </w:pPr>
  </w:style>
  <w:style w:type="paragraph" w:styleId="a6">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a"/>
    <w:link w:val="a7"/>
    <w:uiPriority w:val="99"/>
    <w:qFormat/>
    <w:rsid w:val="00A027ED"/>
    <w:pPr>
      <w:suppressAutoHyphens/>
      <w:spacing w:before="280" w:after="280" w:line="240" w:lineRule="auto"/>
    </w:pPr>
    <w:rPr>
      <w:rFonts w:ascii="Calibri" w:eastAsia="Calibri" w:hAnsi="Calibri"/>
      <w:sz w:val="24"/>
      <w:szCs w:val="24"/>
      <w:lang w:val="x-none" w:eastAsia="zh-CN"/>
    </w:rPr>
  </w:style>
  <w:style w:type="character" w:customStyle="1" w:styleId="a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З Знак"/>
    <w:link w:val="a6"/>
    <w:uiPriority w:val="99"/>
    <w:locked/>
    <w:rsid w:val="00A027ED"/>
    <w:rPr>
      <w:rFonts w:ascii="Calibri" w:eastAsia="Calibri" w:hAnsi="Calibri"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9997">
      <w:bodyDiv w:val="1"/>
      <w:marLeft w:val="0"/>
      <w:marRight w:val="0"/>
      <w:marTop w:val="0"/>
      <w:marBottom w:val="0"/>
      <w:divBdr>
        <w:top w:val="none" w:sz="0" w:space="0" w:color="auto"/>
        <w:left w:val="none" w:sz="0" w:space="0" w:color="auto"/>
        <w:bottom w:val="none" w:sz="0" w:space="0" w:color="auto"/>
        <w:right w:val="none" w:sz="0" w:space="0" w:color="auto"/>
      </w:divBdr>
    </w:div>
    <w:div w:id="13619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5760</Words>
  <Characters>3284</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45</cp:revision>
  <dcterms:created xsi:type="dcterms:W3CDTF">2019-10-21T13:06:00Z</dcterms:created>
  <dcterms:modified xsi:type="dcterms:W3CDTF">2023-01-31T13:43:00Z</dcterms:modified>
</cp:coreProperties>
</file>