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BF20D1" w:rsidRDefault="00662555" w:rsidP="00F819B4">
      <w:pPr>
        <w:spacing w:line="240" w:lineRule="auto"/>
        <w:ind w:left="5220"/>
        <w:rPr>
          <w:rFonts w:ascii="Times New Roman" w:hAnsi="Times New Roman"/>
          <w:sz w:val="28"/>
          <w:szCs w:val="28"/>
          <w:lang w:val="uk-UA"/>
        </w:rPr>
      </w:pPr>
      <w:r w:rsidRPr="00BF20D1">
        <w:rPr>
          <w:rFonts w:ascii="Times New Roman" w:hAnsi="Times New Roman"/>
          <w:sz w:val="28"/>
          <w:szCs w:val="28"/>
          <w:lang w:val="uk-UA"/>
        </w:rPr>
        <w:t xml:space="preserve">Протокол № </w:t>
      </w:r>
      <w:r w:rsidR="00E401FA" w:rsidRPr="00BF20D1">
        <w:rPr>
          <w:rFonts w:ascii="Times New Roman" w:hAnsi="Times New Roman"/>
          <w:sz w:val="28"/>
          <w:szCs w:val="28"/>
        </w:rPr>
        <w:t>140</w:t>
      </w:r>
      <w:r w:rsidRPr="00BF20D1">
        <w:rPr>
          <w:rFonts w:ascii="Times New Roman" w:hAnsi="Times New Roman"/>
          <w:sz w:val="28"/>
          <w:szCs w:val="28"/>
          <w:lang w:val="uk-UA"/>
        </w:rPr>
        <w:t xml:space="preserve"> від </w:t>
      </w:r>
      <w:r w:rsidR="00E401FA" w:rsidRPr="00BF20D1">
        <w:rPr>
          <w:rFonts w:ascii="Times New Roman" w:hAnsi="Times New Roman"/>
          <w:sz w:val="28"/>
          <w:szCs w:val="28"/>
        </w:rPr>
        <w:t>25</w:t>
      </w:r>
      <w:r w:rsidR="00E401FA" w:rsidRPr="00BF20D1">
        <w:rPr>
          <w:rFonts w:ascii="Times New Roman" w:hAnsi="Times New Roman"/>
          <w:sz w:val="28"/>
          <w:szCs w:val="28"/>
          <w:lang w:val="uk-UA"/>
        </w:rPr>
        <w:t>.07</w:t>
      </w:r>
      <w:r w:rsidRPr="00BF20D1">
        <w:rPr>
          <w:rFonts w:ascii="Times New Roman" w:hAnsi="Times New Roman"/>
          <w:sz w:val="28"/>
          <w:szCs w:val="28"/>
          <w:lang w:val="uk-UA"/>
        </w:rPr>
        <w:t>.20</w:t>
      </w:r>
      <w:r w:rsidR="00705F1C" w:rsidRPr="00BF20D1">
        <w:rPr>
          <w:rFonts w:ascii="Times New Roman" w:hAnsi="Times New Roman"/>
          <w:sz w:val="28"/>
          <w:szCs w:val="28"/>
          <w:lang w:val="uk-UA"/>
        </w:rPr>
        <w:t>23</w:t>
      </w:r>
    </w:p>
    <w:p w:rsidR="009104F8" w:rsidRPr="00BF20D1"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r w:rsidRPr="00823313">
        <w:rPr>
          <w:rFonts w:ascii="Times New Roman" w:hAnsi="Times New Roman"/>
          <w:sz w:val="24"/>
          <w:szCs w:val="24"/>
          <w:lang w:val="uk-UA"/>
        </w:rPr>
        <w:t>м.п.</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DE1252">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C25C1B" w:rsidRPr="00BF20D1" w:rsidRDefault="00C25C1B" w:rsidP="00C25C1B">
      <w:pPr>
        <w:spacing w:after="0" w:line="240" w:lineRule="auto"/>
        <w:jc w:val="center"/>
        <w:rPr>
          <w:rFonts w:ascii="Times New Roman" w:hAnsi="Times New Roman"/>
          <w:b/>
          <w:sz w:val="56"/>
          <w:szCs w:val="56"/>
          <w:lang w:val="uk-UA"/>
        </w:rPr>
      </w:pPr>
      <w:r w:rsidRPr="00BF20D1">
        <w:rPr>
          <w:rFonts w:ascii="Times New Roman" w:hAnsi="Times New Roman"/>
          <w:b/>
          <w:sz w:val="56"/>
          <w:szCs w:val="56"/>
          <w:lang w:val="uk-UA"/>
        </w:rPr>
        <w:t>Алюміній, нікель, скандій, титан і ванадій, код ДК 021:2015-1472</w:t>
      </w:r>
    </w:p>
    <w:p w:rsidR="009104F8" w:rsidRPr="00BF20D1" w:rsidRDefault="00C25C1B" w:rsidP="00C25C1B">
      <w:pPr>
        <w:spacing w:after="0" w:line="240" w:lineRule="auto"/>
        <w:jc w:val="center"/>
        <w:rPr>
          <w:rFonts w:ascii="Times New Roman" w:hAnsi="Times New Roman"/>
          <w:sz w:val="24"/>
          <w:szCs w:val="24"/>
          <w:lang w:val="uk-UA"/>
        </w:rPr>
      </w:pPr>
      <w:r w:rsidRPr="00BF20D1">
        <w:rPr>
          <w:rFonts w:ascii="Times New Roman" w:hAnsi="Times New Roman"/>
          <w:b/>
          <w:sz w:val="56"/>
          <w:szCs w:val="56"/>
          <w:lang w:val="uk-UA"/>
        </w:rPr>
        <w:t>(Порошок нікелевий, дріт нікелевий)</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r w:rsidRPr="00823313">
              <w:rPr>
                <w:rFonts w:ascii="Times New Roman" w:eastAsia="Times New Roman" w:hAnsi="Times New Roman"/>
                <w:sz w:val="24"/>
                <w:szCs w:val="24"/>
                <w:lang w:val="uk-UA" w:eastAsia="ru-RU"/>
              </w:rPr>
              <w:t xml:space="preserve">ДП </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СхідГЗК</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З технічних питань та з питань проєкту договору та його укладання</w:t>
            </w:r>
            <w:r w:rsidRPr="00823313">
              <w:rPr>
                <w:rFonts w:ascii="Times New Roman" w:hAnsi="Times New Roman"/>
                <w:sz w:val="24"/>
                <w:szCs w:val="24"/>
                <w:lang w:val="uk-UA"/>
              </w:rPr>
              <w:t>:</w:t>
            </w:r>
          </w:p>
          <w:p w:rsidR="00380815" w:rsidRPr="00BF20D1" w:rsidRDefault="00380815" w:rsidP="00F819B4">
            <w:p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Кузьминськ</w:t>
            </w:r>
            <w:r w:rsidR="00FE6F73" w:rsidRPr="00BF20D1">
              <w:rPr>
                <w:rFonts w:ascii="Times New Roman" w:hAnsi="Times New Roman"/>
                <w:sz w:val="24"/>
                <w:szCs w:val="24"/>
                <w:lang w:val="uk-UA"/>
              </w:rPr>
              <w:t>и</w:t>
            </w:r>
            <w:r w:rsidRPr="00BF20D1">
              <w:rPr>
                <w:rFonts w:ascii="Times New Roman" w:hAnsi="Times New Roman"/>
                <w:sz w:val="24"/>
                <w:szCs w:val="24"/>
                <w:lang w:val="uk-UA"/>
              </w:rPr>
              <w:t xml:space="preserve">й Дмитро Олександрович, </w:t>
            </w:r>
            <w:r w:rsidR="005B00B9" w:rsidRPr="00BF20D1">
              <w:rPr>
                <w:rFonts w:ascii="Times New Roman" w:hAnsi="Times New Roman"/>
                <w:sz w:val="24"/>
                <w:szCs w:val="24"/>
                <w:lang w:val="uk-UA"/>
              </w:rPr>
              <w:t xml:space="preserve">інженер </w:t>
            </w:r>
            <w:r w:rsidR="00FE6BC8" w:rsidRPr="00BF20D1">
              <w:rPr>
                <w:rFonts w:ascii="Times New Roman" w:hAnsi="Times New Roman"/>
                <w:sz w:val="24"/>
                <w:szCs w:val="24"/>
                <w:lang w:val="uk-UA"/>
              </w:rPr>
              <w:t>служби виробничо-технічної комплектації</w:t>
            </w:r>
            <w:r w:rsidR="005B00B9" w:rsidRPr="00BF20D1">
              <w:rPr>
                <w:rFonts w:ascii="Times New Roman" w:hAnsi="Times New Roman"/>
                <w:sz w:val="24"/>
                <w:szCs w:val="24"/>
                <w:lang w:val="uk-UA"/>
              </w:rPr>
              <w:t xml:space="preserve">, </w:t>
            </w:r>
            <w:r w:rsidR="009B41E0" w:rsidRPr="00BF20D1">
              <w:rPr>
                <w:rFonts w:ascii="Times New Roman" w:hAnsi="Times New Roman"/>
                <w:sz w:val="24"/>
                <w:szCs w:val="24"/>
                <w:lang w:val="uk-UA"/>
              </w:rPr>
              <w:t xml:space="preserve">тел.: +380 (50) 4800354, </w:t>
            </w:r>
            <w:r w:rsidR="006E0F8F" w:rsidRPr="00BF20D1">
              <w:rPr>
                <w:rFonts w:ascii="Times New Roman" w:hAnsi="Times New Roman"/>
                <w:sz w:val="24"/>
                <w:szCs w:val="24"/>
                <w:lang w:val="uk-UA"/>
              </w:rPr>
              <w:t xml:space="preserve"> </w:t>
            </w:r>
            <w:r w:rsidR="009B41E0" w:rsidRPr="00BF20D1">
              <w:rPr>
                <w:rFonts w:ascii="Times New Roman" w:hAnsi="Times New Roman"/>
                <w:sz w:val="24"/>
                <w:szCs w:val="24"/>
                <w:lang w:val="uk-UA"/>
              </w:rPr>
              <w:t>e-mail: </w:t>
            </w:r>
            <w:hyperlink r:id="rId8" w:history="1">
              <w:r w:rsidRPr="00BF20D1">
                <w:rPr>
                  <w:rFonts w:ascii="Times New Roman" w:hAnsi="Times New Roman"/>
                  <w:sz w:val="24"/>
                  <w:szCs w:val="24"/>
                  <w:lang w:val="uk-UA"/>
                </w:rPr>
                <w:t>kuzminskiy@vostgok.dp.ua</w:t>
              </w:r>
            </w:hyperlink>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уповноважена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e-mail: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F20D1" w:rsidRDefault="00C25C1B"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BF20D1">
              <w:rPr>
                <w:rFonts w:ascii="Times New Roman" w:hAnsi="Times New Roman"/>
                <w:b/>
                <w:sz w:val="24"/>
                <w:szCs w:val="24"/>
                <w:lang w:val="uk-UA"/>
              </w:rPr>
              <w:t>Алюміній, нікель, скандій, титан і ванадій, код ДК 021:2015-1472 (Порошок нікелевий, дріт нікелевий)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BF20D1" w:rsidRDefault="00CF7931" w:rsidP="00F819B4">
            <w:pPr>
              <w:spacing w:after="120" w:line="240" w:lineRule="auto"/>
              <w:jc w:val="both"/>
              <w:rPr>
                <w:rFonts w:ascii="Times New Roman" w:hAnsi="Times New Roman"/>
                <w:sz w:val="24"/>
                <w:szCs w:val="24"/>
                <w:lang w:val="uk-UA"/>
              </w:rPr>
            </w:pPr>
            <w:r w:rsidRPr="00BF20D1">
              <w:rPr>
                <w:rFonts w:ascii="Times New Roman" w:hAnsi="Times New Roman"/>
                <w:sz w:val="24"/>
                <w:szCs w:val="24"/>
                <w:lang w:val="uk-UA"/>
              </w:rPr>
              <w:t>На умовах DDP, склад Замовника:</w:t>
            </w:r>
          </w:p>
          <w:p w:rsidR="00CB6C8D" w:rsidRPr="00BF20D1" w:rsidRDefault="00CA587E" w:rsidP="00F819B4">
            <w:pPr>
              <w:pStyle w:val="a3"/>
              <w:numPr>
                <w:ilvl w:val="0"/>
                <w:numId w:val="22"/>
              </w:num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ВП </w:t>
            </w:r>
            <w:r w:rsidR="00CB6C8D" w:rsidRPr="00BF20D1">
              <w:rPr>
                <w:rFonts w:ascii="Times New Roman" w:hAnsi="Times New Roman"/>
                <w:sz w:val="24"/>
                <w:szCs w:val="24"/>
                <w:lang w:val="uk-UA"/>
              </w:rPr>
              <w:t>ДХЗ, м. Кам'янське, Дніпропетровська обл</w:t>
            </w:r>
            <w:r w:rsidR="008E4452" w:rsidRPr="00BF20D1">
              <w:rPr>
                <w:rFonts w:ascii="Times New Roman" w:hAnsi="Times New Roman"/>
                <w:sz w:val="24"/>
                <w:szCs w:val="24"/>
                <w:lang w:val="uk-UA"/>
              </w:rPr>
              <w:t>асть</w:t>
            </w:r>
          </w:p>
          <w:p w:rsidR="002B2639" w:rsidRPr="00BF20D1" w:rsidRDefault="002B2639" w:rsidP="00F819B4">
            <w:pPr>
              <w:spacing w:after="0" w:line="240" w:lineRule="auto"/>
              <w:jc w:val="both"/>
              <w:rPr>
                <w:rFonts w:ascii="Times New Roman" w:hAnsi="Times New Roman"/>
                <w:sz w:val="24"/>
                <w:szCs w:val="24"/>
                <w:lang w:val="uk-UA"/>
              </w:rPr>
            </w:pPr>
          </w:p>
          <w:p w:rsidR="004F06C4" w:rsidRPr="00BF20D1" w:rsidRDefault="00C25C1B" w:rsidP="00F819B4">
            <w:pPr>
              <w:spacing w:after="0" w:line="240" w:lineRule="auto"/>
              <w:rPr>
                <w:rFonts w:ascii="Times New Roman" w:eastAsia="Times New Roman" w:hAnsi="Times New Roman"/>
                <w:sz w:val="24"/>
                <w:szCs w:val="24"/>
                <w:lang w:val="uk-UA" w:eastAsia="ru-RU"/>
              </w:rPr>
            </w:pPr>
            <w:r w:rsidRPr="00BF20D1">
              <w:rPr>
                <w:rFonts w:ascii="Times New Roman" w:hAnsi="Times New Roman"/>
                <w:b/>
                <w:sz w:val="24"/>
                <w:szCs w:val="24"/>
                <w:lang w:val="uk-UA"/>
              </w:rPr>
              <w:t>493 кг</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BF20D1" w:rsidRDefault="00C25C1B" w:rsidP="00F819B4">
            <w:pPr>
              <w:spacing w:before="100" w:beforeAutospacing="1" w:after="100" w:afterAutospacing="1" w:line="240" w:lineRule="auto"/>
              <w:rPr>
                <w:rFonts w:ascii="Times New Roman" w:eastAsia="Times New Roman" w:hAnsi="Times New Roman"/>
                <w:b/>
                <w:sz w:val="24"/>
                <w:szCs w:val="24"/>
                <w:lang w:val="uk-UA" w:eastAsia="ru-RU"/>
              </w:rPr>
            </w:pPr>
            <w:r w:rsidRPr="00BF20D1">
              <w:rPr>
                <w:rFonts w:ascii="Times New Roman" w:hAnsi="Times New Roman"/>
                <w:b/>
                <w:sz w:val="24"/>
                <w:szCs w:val="24"/>
                <w:lang w:val="uk-UA"/>
              </w:rPr>
              <w:t>серп</w:t>
            </w:r>
            <w:r w:rsidR="007A1639" w:rsidRPr="00BF20D1">
              <w:rPr>
                <w:rFonts w:ascii="Times New Roman" w:hAnsi="Times New Roman"/>
                <w:b/>
                <w:sz w:val="24"/>
                <w:szCs w:val="24"/>
                <w:lang w:val="uk-UA"/>
              </w:rPr>
              <w:t>ень</w:t>
            </w:r>
            <w:r w:rsidR="00DE1252" w:rsidRPr="00BF20D1">
              <w:rPr>
                <w:rFonts w:ascii="Times New Roman" w:hAnsi="Times New Roman"/>
                <w:b/>
                <w:sz w:val="24"/>
                <w:szCs w:val="24"/>
                <w:lang w:val="uk-UA"/>
              </w:rPr>
              <w:t xml:space="preserve"> </w:t>
            </w:r>
            <w:r w:rsidR="00D00577" w:rsidRPr="00BF20D1">
              <w:rPr>
                <w:rFonts w:ascii="Times New Roman" w:hAnsi="Times New Roman"/>
                <w:b/>
                <w:sz w:val="24"/>
                <w:szCs w:val="24"/>
                <w:lang w:val="uk-UA"/>
              </w:rPr>
              <w:t xml:space="preserve">2023 року </w:t>
            </w:r>
            <w:r w:rsidR="006E1BE7" w:rsidRPr="00BF20D1">
              <w:rPr>
                <w:rFonts w:ascii="Times New Roman" w:hAnsi="Times New Roman"/>
                <w:b/>
                <w:sz w:val="24"/>
                <w:szCs w:val="24"/>
                <w:lang w:val="uk-UA"/>
              </w:rPr>
              <w:t>–</w:t>
            </w:r>
            <w:r w:rsidR="00DE1252" w:rsidRPr="00BF20D1">
              <w:rPr>
                <w:rFonts w:ascii="Times New Roman" w:hAnsi="Times New Roman"/>
                <w:b/>
                <w:sz w:val="24"/>
                <w:szCs w:val="24"/>
                <w:lang w:val="uk-UA"/>
              </w:rPr>
              <w:t xml:space="preserve"> </w:t>
            </w:r>
            <w:r w:rsidR="00FE19A4" w:rsidRPr="00BF20D1">
              <w:rPr>
                <w:rFonts w:ascii="Times New Roman" w:hAnsi="Times New Roman"/>
                <w:b/>
                <w:sz w:val="24"/>
                <w:szCs w:val="24"/>
                <w:lang w:val="uk-UA"/>
              </w:rPr>
              <w:t>грудень</w:t>
            </w:r>
            <w:r w:rsidR="00DE1252" w:rsidRPr="00BF20D1">
              <w:rPr>
                <w:rFonts w:ascii="Times New Roman" w:hAnsi="Times New Roman"/>
                <w:b/>
                <w:sz w:val="24"/>
                <w:szCs w:val="24"/>
                <w:lang w:val="uk-UA"/>
              </w:rPr>
              <w:t xml:space="preserve"> </w:t>
            </w:r>
            <w:r w:rsidR="00D00577" w:rsidRPr="00BF20D1">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C25C1B" w:rsidRDefault="00781BC9" w:rsidP="00C25C1B">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w:t>
            </w:r>
            <w:r w:rsidRPr="00C25C1B">
              <w:rPr>
                <w:rFonts w:ascii="Times New Roman" w:eastAsia="Times New Roman" w:hAnsi="Times New Roman"/>
                <w:sz w:val="24"/>
                <w:szCs w:val="24"/>
                <w:lang w:val="uk-UA" w:eastAsia="ru-RU"/>
              </w:rPr>
              <w:t xml:space="preserve">пов’язані з доставкою до складу </w:t>
            </w:r>
            <w:r w:rsidR="00371571" w:rsidRPr="00C25C1B">
              <w:rPr>
                <w:rFonts w:ascii="Times New Roman" w:eastAsia="Times New Roman" w:hAnsi="Times New Roman"/>
                <w:sz w:val="24"/>
                <w:szCs w:val="24"/>
                <w:lang w:val="uk-UA" w:eastAsia="ru-RU"/>
              </w:rPr>
              <w:t>Замовник</w:t>
            </w:r>
            <w:r w:rsidRPr="00C25C1B">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C25C1B">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25C1B" w:rsidRDefault="00371571" w:rsidP="00C25C1B">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w:t>
            </w:r>
            <w:r w:rsidR="00B530A1" w:rsidRPr="00C25C1B">
              <w:rPr>
                <w:rFonts w:ascii="Times New Roman" w:eastAsia="Times New Roman" w:hAnsi="Times New Roman"/>
                <w:sz w:val="24"/>
                <w:lang w:val="uk-UA" w:eastAsia="ru-RU"/>
              </w:rPr>
              <w:t>розрахунку тенде</w:t>
            </w:r>
            <w:r w:rsidR="002A728E" w:rsidRPr="00C25C1B">
              <w:rPr>
                <w:rFonts w:ascii="Times New Roman" w:eastAsia="Times New Roman" w:hAnsi="Times New Roman"/>
                <w:sz w:val="24"/>
                <w:lang w:val="uk-UA" w:eastAsia="ru-RU"/>
              </w:rPr>
              <w:t>рної пропозиції</w:t>
            </w:r>
            <w:r w:rsidR="00DE1252" w:rsidRPr="00C25C1B">
              <w:rPr>
                <w:rFonts w:ascii="Times New Roman" w:eastAsia="Times New Roman" w:hAnsi="Times New Roman"/>
                <w:sz w:val="24"/>
                <w:lang w:val="uk-UA" w:eastAsia="ru-RU"/>
              </w:rPr>
              <w:t xml:space="preserve"> </w:t>
            </w:r>
            <w:r w:rsidR="00A8136C" w:rsidRPr="00C25C1B">
              <w:rPr>
                <w:rFonts w:ascii="Times New Roman" w:eastAsia="Times New Roman" w:hAnsi="Times New Roman"/>
                <w:lang w:val="uk-UA" w:eastAsia="ru-RU"/>
              </w:rPr>
              <w:t>за результатами проведеного аукціону</w:t>
            </w:r>
            <w:r w:rsidR="00FA53B6" w:rsidRPr="00C25C1B">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C25C1B">
              <w:rPr>
                <w:rFonts w:ascii="Times New Roman" w:eastAsia="Times New Roman" w:hAnsi="Times New Roman"/>
                <w:lang w:val="uk-UA" w:eastAsia="ru-RU"/>
              </w:rPr>
              <w:t>.</w:t>
            </w:r>
            <w:r w:rsidR="00B530A1" w:rsidRPr="00C25C1B">
              <w:rPr>
                <w:rFonts w:ascii="Times New Roman" w:eastAsia="Times New Roman" w:hAnsi="Times New Roman"/>
                <w:sz w:val="24"/>
                <w:lang w:val="uk-UA" w:eastAsia="ru-RU"/>
              </w:rPr>
              <w:t xml:space="preserve"> У разі надання </w:t>
            </w:r>
            <w:r w:rsidRPr="00C25C1B">
              <w:rPr>
                <w:rFonts w:ascii="Times New Roman" w:eastAsia="Times New Roman" w:hAnsi="Times New Roman"/>
                <w:sz w:val="24"/>
                <w:lang w:val="uk-UA" w:eastAsia="ru-RU"/>
              </w:rPr>
              <w:t>Учасник</w:t>
            </w:r>
            <w:r w:rsidR="00B530A1" w:rsidRPr="00C25C1B">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C25C1B">
              <w:rPr>
                <w:rFonts w:ascii="Times New Roman" w:eastAsia="Times New Roman" w:hAnsi="Times New Roman"/>
                <w:sz w:val="24"/>
                <w:lang w:val="uk-UA" w:eastAsia="ru-RU"/>
              </w:rPr>
              <w:t>Замовник</w:t>
            </w:r>
            <w:r w:rsidR="00B530A1" w:rsidRPr="00C25C1B">
              <w:rPr>
                <w:rFonts w:ascii="Times New Roman" w:eastAsia="Times New Roman" w:hAnsi="Times New Roman"/>
                <w:sz w:val="24"/>
                <w:lang w:val="uk-UA" w:eastAsia="ru-RU"/>
              </w:rPr>
              <w:t xml:space="preserve"> відхиляє пропозицію </w:t>
            </w:r>
            <w:r w:rsidRPr="00C25C1B">
              <w:rPr>
                <w:rFonts w:ascii="Times New Roman" w:eastAsia="Times New Roman" w:hAnsi="Times New Roman"/>
                <w:sz w:val="24"/>
                <w:lang w:val="uk-UA" w:eastAsia="ru-RU"/>
              </w:rPr>
              <w:t>Учасник</w:t>
            </w:r>
            <w:r w:rsidR="00B530A1" w:rsidRPr="00C25C1B">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25C1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82331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BF20D1" w:rsidRPr="00BF20D1">
              <w:rPr>
                <w:rFonts w:ascii="Times New Roman" w:eastAsia="Times New Roman" w:hAnsi="Times New Roman"/>
                <w:sz w:val="24"/>
                <w:szCs w:val="24"/>
                <w:lang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E1252">
              <w:rPr>
                <w:rFonts w:ascii="Times New Roman" w:eastAsia="Times New Roman" w:hAnsi="Times New Roman"/>
                <w:sz w:val="24"/>
                <w:szCs w:val="24"/>
                <w:lang w:val="uk-UA" w:eastAsia="ru-RU"/>
              </w:rPr>
              <w:t xml:space="preserve">машинозчитувальному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BF20D1" w:rsidRPr="00BF20D1">
              <w:rPr>
                <w:rFonts w:ascii="Times New Roman" w:eastAsia="Times New Roman" w:hAnsi="Times New Roman"/>
                <w:sz w:val="24"/>
                <w:szCs w:val="24"/>
                <w:lang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lastRenderedPageBreak/>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..pdf.</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..jpeg.</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823313">
              <w:rPr>
                <w:rFonts w:ascii="Times New Roman" w:eastAsia="Times New Roman" w:hAnsi="Times New Roman"/>
                <w:sz w:val="24"/>
                <w:szCs w:val="24"/>
                <w:lang w:val="uk-UA" w:eastAsia="ru-RU"/>
              </w:rPr>
              <w:lastRenderedPageBreak/>
              <w:t xml:space="preserve">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BF20D1" w:rsidRPr="00BF20D1">
              <w:rPr>
                <w:rFonts w:ascii="Times New Roman" w:eastAsia="Times New Roman" w:hAnsi="Times New Roman"/>
                <w:sz w:val="24"/>
                <w:szCs w:val="24"/>
                <w:lang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BF20D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lastRenderedPageBreak/>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10"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1"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у вигляді вчинення антиконкурентних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E0F8F">
              <w:rPr>
                <w:lang w:val="uk-UA"/>
              </w:rPr>
              <w:lastRenderedPageBreak/>
              <w:t>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6E0F8F">
              <w:rPr>
                <w:lang w:val="uk-UA"/>
              </w:rPr>
              <w:lastRenderedPageBreak/>
              <w:t>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F20D1" w:rsidRDefault="004F06C4" w:rsidP="00F819B4">
            <w:pPr>
              <w:spacing w:after="120" w:line="240" w:lineRule="auto"/>
              <w:jc w:val="both"/>
              <w:rPr>
                <w:rFonts w:ascii="Times New Roman" w:eastAsia="Times New Roman" w:hAnsi="Times New Roman"/>
                <w:sz w:val="24"/>
                <w:szCs w:val="24"/>
                <w:lang w:val="uk-UA" w:eastAsia="ru-RU"/>
              </w:rPr>
            </w:pPr>
            <w:r w:rsidRPr="00BF20D1">
              <w:rPr>
                <w:rFonts w:ascii="Times New Roman" w:eastAsia="Times New Roman" w:hAnsi="Times New Roman"/>
                <w:sz w:val="24"/>
                <w:szCs w:val="24"/>
                <w:lang w:val="uk-UA" w:eastAsia="ru-RU"/>
              </w:rPr>
              <w:t xml:space="preserve">Кінцевий строк подання тендерних пропозицій </w:t>
            </w:r>
            <w:r w:rsidR="00F86E3A" w:rsidRPr="00BF20D1">
              <w:rPr>
                <w:rFonts w:ascii="Times New Roman" w:eastAsia="Times New Roman" w:hAnsi="Times New Roman"/>
                <w:sz w:val="24"/>
                <w:szCs w:val="24"/>
                <w:lang w:val="uk-UA" w:eastAsia="ru-RU"/>
              </w:rPr>
              <w:t>до</w:t>
            </w:r>
          </w:p>
          <w:p w:rsidR="004F06C4" w:rsidRPr="00BF20D1" w:rsidRDefault="008E5A6E" w:rsidP="00F819B4">
            <w:pPr>
              <w:spacing w:after="120" w:line="240" w:lineRule="auto"/>
              <w:jc w:val="both"/>
              <w:rPr>
                <w:rFonts w:ascii="Times New Roman" w:eastAsia="Times New Roman" w:hAnsi="Times New Roman"/>
                <w:b/>
                <w:sz w:val="24"/>
                <w:szCs w:val="24"/>
                <w:u w:val="single"/>
                <w:lang w:val="uk-UA" w:eastAsia="ru-RU"/>
              </w:rPr>
            </w:pPr>
            <w:r w:rsidRPr="00BF20D1">
              <w:rPr>
                <w:rFonts w:ascii="Times New Roman" w:eastAsia="Times New Roman" w:hAnsi="Times New Roman"/>
                <w:b/>
                <w:sz w:val="24"/>
                <w:szCs w:val="24"/>
                <w:u w:val="single"/>
                <w:lang w:val="uk-UA" w:eastAsia="ru-RU"/>
              </w:rPr>
              <w:t>0</w:t>
            </w:r>
            <w:r w:rsidR="00BF20D1" w:rsidRPr="00BF20D1">
              <w:rPr>
                <w:rFonts w:ascii="Times New Roman" w:eastAsia="Times New Roman" w:hAnsi="Times New Roman"/>
                <w:b/>
                <w:sz w:val="24"/>
                <w:szCs w:val="24"/>
                <w:u w:val="single"/>
                <w:lang w:val="en-US" w:eastAsia="ru-RU"/>
              </w:rPr>
              <w:t>9</w:t>
            </w:r>
            <w:r w:rsidRPr="00BF20D1">
              <w:rPr>
                <w:rFonts w:ascii="Times New Roman" w:eastAsia="Times New Roman" w:hAnsi="Times New Roman"/>
                <w:b/>
                <w:sz w:val="24"/>
                <w:szCs w:val="24"/>
                <w:u w:val="single"/>
                <w:lang w:val="uk-UA" w:eastAsia="ru-RU"/>
              </w:rPr>
              <w:t>.0</w:t>
            </w:r>
            <w:r w:rsidR="00C25C1B" w:rsidRPr="00BF20D1">
              <w:rPr>
                <w:rFonts w:ascii="Times New Roman" w:eastAsia="Times New Roman" w:hAnsi="Times New Roman"/>
                <w:b/>
                <w:sz w:val="24"/>
                <w:szCs w:val="24"/>
                <w:u w:val="single"/>
                <w:lang w:val="uk-UA" w:eastAsia="ru-RU"/>
              </w:rPr>
              <w:t>8</w:t>
            </w:r>
            <w:r w:rsidR="00C52BC8" w:rsidRPr="00BF20D1">
              <w:rPr>
                <w:rFonts w:ascii="Times New Roman" w:eastAsia="Times New Roman" w:hAnsi="Times New Roman"/>
                <w:b/>
                <w:sz w:val="24"/>
                <w:szCs w:val="24"/>
                <w:u w:val="single"/>
                <w:lang w:val="uk-UA" w:eastAsia="ru-RU"/>
              </w:rPr>
              <w:t>.202</w:t>
            </w:r>
            <w:r w:rsidR="00450B61" w:rsidRPr="00BF20D1">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BF20D1" w:rsidRPr="00BF20D1">
              <w:rPr>
                <w:rFonts w:ascii="Times New Roman" w:eastAsia="Times New Roman" w:hAnsi="Times New Roman"/>
                <w:sz w:val="24"/>
                <w:szCs w:val="24"/>
                <w:lang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E0F8F">
              <w:rPr>
                <w:rFonts w:ascii="Times New Roman" w:eastAsia="Times New Roman" w:hAnsi="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tc>
      </w:tr>
      <w:tr w:rsidR="00081DB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3" w:anchor="n1497" w:tgtFrame="_blank" w:history="1">
              <w:r w:rsidRPr="006E0F8F">
                <w:rPr>
                  <w:rFonts w:ascii="Times New Roman" w:eastAsia="Times New Roman" w:hAnsi="Times New Roman"/>
                  <w:sz w:val="24"/>
                  <w:szCs w:val="24"/>
                  <w:lang w:val="uk-UA" w:eastAsia="ru-RU"/>
                </w:rPr>
                <w:t>абзацу другого</w:t>
              </w:r>
            </w:hyperlink>
            <w:r w:rsidR="00BF20D1" w:rsidRPr="00BF20D1">
              <w:rPr>
                <w:rFonts w:ascii="Times New Roman" w:eastAsia="Times New Roman" w:hAnsi="Times New Roman"/>
                <w:sz w:val="24"/>
                <w:szCs w:val="24"/>
                <w:lang w:eastAsia="ru-RU"/>
              </w:rPr>
              <w:t xml:space="preserve"> </w:t>
            </w:r>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00BF20D1" w:rsidRPr="00BF20D1">
              <w:rPr>
                <w:rFonts w:ascii="Times New Roman" w:eastAsia="Times New Roman" w:hAnsi="Times New Roman"/>
                <w:sz w:val="24"/>
                <w:szCs w:val="24"/>
                <w:lang w:eastAsia="ru-RU"/>
              </w:rPr>
              <w:t xml:space="preserve"> </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6E0F8F">
              <w:rPr>
                <w:rFonts w:ascii="Times New Roman" w:eastAsia="Times New Roman" w:hAnsi="Times New Roman"/>
                <w:color w:val="000000"/>
                <w:sz w:val="24"/>
                <w:szCs w:val="24"/>
                <w:lang w:val="uk-UA"/>
              </w:rPr>
              <w:lastRenderedPageBreak/>
              <w:t>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6" w:anchor="n1500" w:tgtFrame="_blank" w:history="1">
              <w:r w:rsidRPr="006E0F8F">
                <w:rPr>
                  <w:rFonts w:ascii="Times New Roman" w:eastAsia="Times New Roman" w:hAnsi="Times New Roman"/>
                  <w:color w:val="000000"/>
                  <w:sz w:val="24"/>
                  <w:szCs w:val="24"/>
                  <w:lang w:val="uk-UA"/>
                </w:rPr>
                <w:t>четвертої</w:t>
              </w:r>
            </w:hyperlink>
            <w:r w:rsidR="00BF20D1" w:rsidRPr="00BF20D1">
              <w:rPr>
                <w:rFonts w:ascii="Times New Roman" w:eastAsia="Times New Roman" w:hAnsi="Times New Roman"/>
                <w:color w:val="000000"/>
                <w:sz w:val="24"/>
                <w:szCs w:val="24"/>
              </w:rPr>
              <w:t xml:space="preserve"> </w:t>
            </w:r>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9"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F20D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BF20D1" w:rsidRPr="00BF20D1">
              <w:rPr>
                <w:rFonts w:ascii="Times New Roman" w:eastAsia="Times New Roman" w:hAnsi="Times New Roman"/>
                <w:color w:val="000000"/>
                <w:sz w:val="24"/>
                <w:szCs w:val="24"/>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w:t>
            </w:r>
            <w:r w:rsidR="00BF20D1" w:rsidRPr="00BF20D1">
              <w:rPr>
                <w:rFonts w:ascii="Times New Roman" w:eastAsia="Times New Roman" w:hAnsi="Times New Roman"/>
                <w:color w:val="000000"/>
                <w:sz w:val="24"/>
                <w:szCs w:val="24"/>
              </w:rPr>
              <w:t xml:space="preserve"> </w:t>
            </w:r>
            <w:r w:rsidRPr="00823313">
              <w:rPr>
                <w:rFonts w:ascii="Times New Roman" w:eastAsia="Times New Roman" w:hAnsi="Times New Roman"/>
                <w:color w:val="000000"/>
                <w:sz w:val="24"/>
                <w:szCs w:val="24"/>
                <w:lang w:val="uk-UA"/>
              </w:rPr>
              <w:t>накладення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 при поданні тендерної пропозиції повинні </w:t>
            </w:r>
            <w:r w:rsidRPr="00823313">
              <w:rPr>
                <w:rFonts w:ascii="Times New Roman" w:eastAsia="Times New Roman" w:hAnsi="Times New Roman"/>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19" w:name="n135"/>
            <w:bookmarkEnd w:id="19"/>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0" w:name="n593"/>
            <w:bookmarkEnd w:id="20"/>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4"/>
            <w:bookmarkEnd w:id="21"/>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5"/>
            <w:bookmarkEnd w:id="22"/>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6"/>
            <w:bookmarkEnd w:id="23"/>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7"/>
            <w:bookmarkEnd w:id="24"/>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8"/>
            <w:bookmarkEnd w:id="25"/>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9"/>
            <w:bookmarkEnd w:id="26"/>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00DA7F5B" w:rsidRPr="006E0F8F">
              <w:rPr>
                <w:lang w:val="uk-UA"/>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7" w:name="n600"/>
            <w:bookmarkEnd w:id="27"/>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8" w:name="n601"/>
            <w:bookmarkEnd w:id="28"/>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2"/>
            <w:bookmarkEnd w:id="29"/>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3"/>
            <w:bookmarkEnd w:id="30"/>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2" w:name="n605"/>
            <w:bookmarkEnd w:id="32"/>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3" w:name="n606"/>
            <w:bookmarkEnd w:id="33"/>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7"/>
            <w:bookmarkEnd w:id="34"/>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8"/>
            <w:bookmarkEnd w:id="35"/>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9"/>
            <w:bookmarkEnd w:id="36"/>
            <w:r w:rsidRPr="006E0F8F">
              <w:rPr>
                <w:lang w:val="uk-UA"/>
              </w:rPr>
              <w:t>- </w:t>
            </w:r>
            <w:r w:rsidR="00DA7F5B" w:rsidRPr="006E0F8F">
              <w:rPr>
                <w:lang w:val="uk-UA"/>
              </w:rPr>
              <w:t xml:space="preserve">надав недостовірну інформацію, що є суттєвою для визначення результатів процедури закупівлі, яку замовником </w:t>
            </w:r>
            <w:r w:rsidR="00DA7F5B" w:rsidRPr="006E0F8F">
              <w:rPr>
                <w:lang w:val="uk-UA"/>
              </w:rPr>
              <w:lastRenderedPageBreak/>
              <w:t>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використання слова або мовного звороту, запозичених з </w:t>
            </w:r>
            <w:r w:rsidRPr="00F63F90">
              <w:rPr>
                <w:lang w:val="uk-UA"/>
              </w:rPr>
              <w:lastRenderedPageBreak/>
              <w:t>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lastRenderedPageBreak/>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0A6FA6" w:rsidRPr="00F63F90">
              <w:rPr>
                <w:lang w:val="uk-UA"/>
              </w:rPr>
              <w:t>зак-упівля</w:t>
            </w:r>
            <w:r w:rsidRPr="00F63F90">
              <w:rPr>
                <w:lang w:val="uk-UA"/>
              </w:rPr>
              <w:t>"</w:t>
            </w:r>
            <w:r w:rsidR="00645791" w:rsidRPr="00F63F90">
              <w:rPr>
                <w:lang w:val="uk-UA"/>
              </w:rPr>
              <w:t xml:space="preserve"> замість </w:t>
            </w:r>
            <w:r w:rsidRPr="00F63F90">
              <w:rPr>
                <w:lang w:val="uk-UA"/>
              </w:rPr>
              <w:t>"</w:t>
            </w:r>
            <w:r w:rsidR="000A6FA6" w:rsidRPr="00F63F90">
              <w:rPr>
                <w:lang w:val="uk-UA"/>
              </w:rPr>
              <w:t>за-купівля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незастосовується</w:t>
            </w:r>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w:t>
            </w:r>
            <w:r w:rsidRPr="00823313">
              <w:rPr>
                <w:rFonts w:ascii="Times New Roman" w:eastAsia="Times New Roman" w:hAnsi="Times New Roman"/>
                <w:sz w:val="24"/>
                <w:szCs w:val="24"/>
                <w:lang w:val="uk-UA" w:eastAsia="ru-RU"/>
              </w:rPr>
              <w:lastRenderedPageBreak/>
              <w:t xml:space="preserve">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BF20D1" w:rsidRPr="00BF20D1">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1" w:tgtFrame="_blank" w:history="1">
              <w:r w:rsidR="005C2A1D" w:rsidRPr="00823313">
                <w:rPr>
                  <w:rFonts w:ascii="Times New Roman" w:eastAsia="Times New Roman" w:hAnsi="Times New Roman"/>
                  <w:sz w:val="24"/>
                  <w:szCs w:val="24"/>
                  <w:lang w:val="uk-UA" w:eastAsia="ru-RU"/>
                </w:rPr>
                <w:t>Закону</w:t>
              </w:r>
            </w:hyperlink>
            <w:r w:rsidR="00BF20D1" w:rsidRPr="00BF20D1">
              <w:rPr>
                <w:rFonts w:ascii="Times New Roman" w:eastAsia="Times New Roman" w:hAnsi="Times New Roman"/>
                <w:sz w:val="24"/>
                <w:szCs w:val="24"/>
                <w:lang w:val="uk-UA" w:eastAsia="ru-RU"/>
              </w:rPr>
              <w:t xml:space="preserve"> </w:t>
            </w:r>
            <w:r w:rsidR="005C2A1D" w:rsidRPr="00823313">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2"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C25C1B">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надає сканкопію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C25C1B">
        <w:rPr>
          <w:rFonts w:ascii="Times New Roman" w:eastAsia="Times New Roman" w:hAnsi="Times New Roman"/>
          <w:b/>
          <w:sz w:val="24"/>
          <w:szCs w:val="24"/>
          <w:lang w:val="uk-UA" w:eastAsia="ru-RU"/>
        </w:rPr>
        <w:t xml:space="preserve"> в повному обсязі</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3"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4"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5"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6"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7"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2" w:name="n539"/>
      <w:bookmarkEnd w:id="42"/>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8"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w:t>
      </w:r>
      <w:r w:rsidR="00DF4D72" w:rsidRPr="006E0F8F">
        <w:rPr>
          <w:rFonts w:ascii="Times New Roman" w:hAnsi="Times New Roman"/>
          <w:sz w:val="24"/>
          <w:szCs w:val="24"/>
          <w:lang w:val="uk-UA"/>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824315" w:rsidRPr="00823313" w:rsidRDefault="00824315"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824315" w:rsidRPr="00823313" w:rsidRDefault="00824315"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1) При поданні інформації  </w:t>
      </w:r>
      <w:r w:rsidRPr="00823313">
        <w:rPr>
          <w:rFonts w:ascii="Times New Roman" w:hAnsi="Times New Roman"/>
          <w:b/>
          <w:i/>
          <w:color w:val="0000FF"/>
          <w:sz w:val="24"/>
          <w:szCs w:val="24"/>
          <w:lang w:val="uk-UA"/>
        </w:rPr>
        <w:t xml:space="preserve">в колонці 3 таблиці Учасником </w:t>
      </w:r>
      <w:r w:rsidRPr="00823313">
        <w:rPr>
          <w:rFonts w:ascii="Times New Roman" w:hAnsi="Times New Roman"/>
          <w:i/>
          <w:color w:val="0000FF"/>
          <w:sz w:val="24"/>
          <w:szCs w:val="24"/>
          <w:lang w:val="uk-UA"/>
        </w:rPr>
        <w:t xml:space="preserve">зазначається продукція, яка фактично буде постачатися, </w:t>
      </w:r>
      <w:r w:rsidRPr="00823313">
        <w:rPr>
          <w:rFonts w:ascii="Times New Roman" w:hAnsi="Times New Roman"/>
          <w:b/>
          <w:i/>
          <w:color w:val="0000FF"/>
          <w:sz w:val="24"/>
          <w:szCs w:val="24"/>
          <w:u w:val="single"/>
          <w:lang w:val="uk-UA"/>
        </w:rPr>
        <w:t>без зазначення</w:t>
      </w:r>
      <w:r w:rsidRPr="00823313">
        <w:rPr>
          <w:rFonts w:ascii="Times New Roman" w:hAnsi="Times New Roman"/>
          <w:b/>
          <w:i/>
          <w:color w:val="0000FF"/>
          <w:sz w:val="24"/>
          <w:szCs w:val="24"/>
          <w:lang w:val="uk-UA"/>
        </w:rPr>
        <w:t xml:space="preserve"> виразу "або еквівалент"</w:t>
      </w:r>
      <w:r w:rsidRPr="00823313">
        <w:rPr>
          <w:rFonts w:ascii="Times New Roman" w:hAnsi="Times New Roman"/>
          <w:i/>
          <w:color w:val="0000FF"/>
          <w:sz w:val="24"/>
          <w:szCs w:val="24"/>
          <w:lang w:val="uk-UA"/>
        </w:rPr>
        <w:t>.</w:t>
      </w:r>
    </w:p>
    <w:p w:rsidR="00824315" w:rsidRPr="00823313" w:rsidRDefault="00824315"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23313">
        <w:rPr>
          <w:rFonts w:ascii="Times New Roman" w:hAnsi="Times New Roman"/>
          <w:b/>
          <w:i/>
          <w:color w:val="0000FF"/>
          <w:sz w:val="24"/>
          <w:szCs w:val="24"/>
          <w:lang w:val="uk-UA"/>
        </w:rPr>
        <w:t>технічні характеристики саме цієї продукції</w:t>
      </w:r>
      <w:r w:rsidRPr="00823313">
        <w:rPr>
          <w:rFonts w:ascii="Times New Roman" w:hAnsi="Times New Roman"/>
          <w:i/>
          <w:color w:val="0000FF"/>
          <w:sz w:val="24"/>
          <w:szCs w:val="24"/>
          <w:lang w:val="uk-UA"/>
        </w:rPr>
        <w:t>.</w:t>
      </w: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233"/>
        <w:gridCol w:w="3205"/>
        <w:gridCol w:w="975"/>
        <w:gridCol w:w="1390"/>
      </w:tblGrid>
      <w:tr w:rsidR="006514B5" w:rsidRPr="00823313" w:rsidTr="00C25C1B">
        <w:trPr>
          <w:trHeight w:val="56"/>
          <w:jc w:val="center"/>
        </w:trPr>
        <w:tc>
          <w:tcPr>
            <w:tcW w:w="296" w:type="pct"/>
            <w:vMerge w:val="restart"/>
            <w:vAlign w:val="center"/>
          </w:tcPr>
          <w:p w:rsidR="006514B5" w:rsidRPr="00823313" w:rsidRDefault="002D7012" w:rsidP="00F819B4">
            <w:pPr>
              <w:spacing w:after="0" w:line="240" w:lineRule="auto"/>
              <w:jc w:val="center"/>
              <w:rPr>
                <w:rFonts w:ascii="Times New Roman" w:hAnsi="Times New Roman"/>
                <w:color w:val="FF0000"/>
                <w:sz w:val="24"/>
                <w:szCs w:val="24"/>
                <w:lang w:val="uk-UA"/>
              </w:rPr>
            </w:pPr>
            <w:r w:rsidRPr="00823313">
              <w:rPr>
                <w:rFonts w:ascii="Times New Roman" w:hAnsi="Times New Roman"/>
                <w:sz w:val="24"/>
                <w:szCs w:val="24"/>
                <w:lang w:val="uk-UA"/>
              </w:rPr>
              <w:t>№ з/п</w:t>
            </w:r>
          </w:p>
        </w:tc>
        <w:tc>
          <w:tcPr>
            <w:tcW w:w="3569" w:type="pct"/>
            <w:gridSpan w:val="2"/>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Найменування</w:t>
            </w:r>
          </w:p>
        </w:tc>
        <w:tc>
          <w:tcPr>
            <w:tcW w:w="468" w:type="pct"/>
            <w:vMerge w:val="restart"/>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Один виміру</w:t>
            </w:r>
          </w:p>
        </w:tc>
        <w:tc>
          <w:tcPr>
            <w:tcW w:w="668" w:type="pct"/>
            <w:vMerge w:val="restart"/>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Кількість</w:t>
            </w:r>
          </w:p>
        </w:tc>
      </w:tr>
      <w:tr w:rsidR="006514B5" w:rsidRPr="00823313" w:rsidTr="00C25C1B">
        <w:trPr>
          <w:jc w:val="center"/>
        </w:trPr>
        <w:tc>
          <w:tcPr>
            <w:tcW w:w="296" w:type="pct"/>
            <w:vMerge/>
            <w:vAlign w:val="center"/>
          </w:tcPr>
          <w:p w:rsidR="006514B5" w:rsidRPr="00823313" w:rsidRDefault="006514B5" w:rsidP="00F819B4">
            <w:pPr>
              <w:spacing w:after="0" w:line="240" w:lineRule="auto"/>
              <w:jc w:val="center"/>
              <w:rPr>
                <w:rFonts w:ascii="Times New Roman" w:hAnsi="Times New Roman"/>
                <w:color w:val="FF0000"/>
                <w:sz w:val="24"/>
                <w:szCs w:val="24"/>
                <w:lang w:val="uk-UA"/>
              </w:rPr>
            </w:pPr>
          </w:p>
        </w:tc>
        <w:tc>
          <w:tcPr>
            <w:tcW w:w="2031" w:type="pct"/>
            <w:vAlign w:val="center"/>
          </w:tcPr>
          <w:p w:rsidR="006514B5" w:rsidRPr="00BF20D1" w:rsidRDefault="006514B5" w:rsidP="00F819B4">
            <w:pPr>
              <w:suppressAutoHyphens/>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BF20D1" w:rsidRDefault="006514B5" w:rsidP="00F819B4">
            <w:pPr>
              <w:spacing w:after="0" w:line="240" w:lineRule="auto"/>
              <w:jc w:val="center"/>
              <w:rPr>
                <w:rFonts w:ascii="Times New Roman" w:hAnsi="Times New Roman"/>
                <w:sz w:val="24"/>
                <w:szCs w:val="24"/>
                <w:lang w:val="uk-UA"/>
              </w:rPr>
            </w:pPr>
          </w:p>
        </w:tc>
        <w:tc>
          <w:tcPr>
            <w:tcW w:w="668" w:type="pct"/>
            <w:vMerge/>
            <w:vAlign w:val="center"/>
          </w:tcPr>
          <w:p w:rsidR="006514B5" w:rsidRPr="00BF20D1" w:rsidRDefault="006514B5" w:rsidP="00F819B4">
            <w:pPr>
              <w:spacing w:after="0" w:line="240" w:lineRule="auto"/>
              <w:jc w:val="center"/>
              <w:rPr>
                <w:rFonts w:ascii="Times New Roman" w:hAnsi="Times New Roman"/>
                <w:sz w:val="24"/>
                <w:szCs w:val="24"/>
                <w:lang w:val="uk-UA"/>
              </w:rPr>
            </w:pPr>
          </w:p>
        </w:tc>
      </w:tr>
      <w:tr w:rsidR="00372AF1" w:rsidRPr="00823313" w:rsidTr="00C25C1B">
        <w:trPr>
          <w:jc w:val="center"/>
        </w:trPr>
        <w:tc>
          <w:tcPr>
            <w:tcW w:w="296"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1</w:t>
            </w:r>
          </w:p>
        </w:tc>
        <w:tc>
          <w:tcPr>
            <w:tcW w:w="2031" w:type="pct"/>
            <w:vAlign w:val="center"/>
          </w:tcPr>
          <w:p w:rsidR="00372AF1" w:rsidRPr="00BF20D1" w:rsidRDefault="00372AF1" w:rsidP="00F819B4">
            <w:pPr>
              <w:suppressAutoHyphens/>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2</w:t>
            </w:r>
          </w:p>
        </w:tc>
        <w:tc>
          <w:tcPr>
            <w:tcW w:w="1538"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3</w:t>
            </w:r>
          </w:p>
        </w:tc>
        <w:tc>
          <w:tcPr>
            <w:tcW w:w="468"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4</w:t>
            </w:r>
          </w:p>
        </w:tc>
        <w:tc>
          <w:tcPr>
            <w:tcW w:w="668"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5</w:t>
            </w:r>
          </w:p>
        </w:tc>
      </w:tr>
      <w:tr w:rsidR="00C25C1B" w:rsidRPr="00823313" w:rsidTr="00C25C1B">
        <w:trPr>
          <w:trHeight w:val="56"/>
          <w:jc w:val="center"/>
        </w:trPr>
        <w:tc>
          <w:tcPr>
            <w:tcW w:w="296" w:type="pct"/>
            <w:vAlign w:val="center"/>
          </w:tcPr>
          <w:p w:rsidR="00C25C1B" w:rsidRPr="00BF20D1" w:rsidRDefault="00C25C1B" w:rsidP="00C25C1B">
            <w:p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1</w:t>
            </w:r>
          </w:p>
        </w:tc>
        <w:tc>
          <w:tcPr>
            <w:tcW w:w="2031" w:type="pct"/>
          </w:tcPr>
          <w:p w:rsidR="00C25C1B" w:rsidRPr="00BF20D1" w:rsidRDefault="00C25C1B" w:rsidP="00C25C1B">
            <w:pPr>
              <w:suppressAutoHyphens/>
              <w:spacing w:after="0" w:line="240" w:lineRule="auto"/>
              <w:rPr>
                <w:rFonts w:ascii="Times New Roman" w:hAnsi="Times New Roman"/>
                <w:sz w:val="24"/>
                <w:szCs w:val="24"/>
                <w:lang w:val="uk-UA"/>
              </w:rPr>
            </w:pPr>
            <w:r w:rsidRPr="00BF20D1">
              <w:rPr>
                <w:rFonts w:ascii="Times New Roman" w:hAnsi="Times New Roman"/>
                <w:sz w:val="24"/>
                <w:szCs w:val="24"/>
                <w:lang w:val="uk-UA"/>
              </w:rPr>
              <w:t>Порошок нікелевий ПНЕ-1 ГОСТ 9722-97 або еквівалент</w:t>
            </w:r>
          </w:p>
        </w:tc>
        <w:tc>
          <w:tcPr>
            <w:tcW w:w="1538" w:type="pct"/>
          </w:tcPr>
          <w:p w:rsidR="00C25C1B" w:rsidRPr="00BF20D1" w:rsidRDefault="00C25C1B" w:rsidP="00C25C1B">
            <w:pPr>
              <w:spacing w:after="0" w:line="240" w:lineRule="auto"/>
              <w:jc w:val="both"/>
              <w:rPr>
                <w:rFonts w:ascii="Times New Roman" w:hAnsi="Times New Roman"/>
                <w:sz w:val="24"/>
                <w:szCs w:val="24"/>
                <w:lang w:val="uk-UA"/>
              </w:rPr>
            </w:pPr>
          </w:p>
        </w:tc>
        <w:tc>
          <w:tcPr>
            <w:tcW w:w="468" w:type="pct"/>
          </w:tcPr>
          <w:p w:rsidR="00C25C1B" w:rsidRPr="00BF20D1" w:rsidRDefault="00C25C1B" w:rsidP="00C25C1B">
            <w:pPr>
              <w:suppressAutoHyphens/>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кг</w:t>
            </w:r>
          </w:p>
        </w:tc>
        <w:tc>
          <w:tcPr>
            <w:tcW w:w="668" w:type="pct"/>
            <w:vAlign w:val="center"/>
          </w:tcPr>
          <w:p w:rsidR="00C25C1B" w:rsidRPr="00BF20D1" w:rsidRDefault="00C25C1B" w:rsidP="00C25C1B">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480</w:t>
            </w:r>
          </w:p>
        </w:tc>
      </w:tr>
      <w:tr w:rsidR="00C25C1B" w:rsidRPr="00823313" w:rsidTr="00C25C1B">
        <w:trPr>
          <w:trHeight w:val="728"/>
          <w:jc w:val="center"/>
        </w:trPr>
        <w:tc>
          <w:tcPr>
            <w:tcW w:w="296" w:type="pct"/>
            <w:vAlign w:val="center"/>
          </w:tcPr>
          <w:p w:rsidR="00C25C1B" w:rsidRPr="00BF20D1" w:rsidRDefault="00C25C1B" w:rsidP="00C25C1B">
            <w:p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2</w:t>
            </w:r>
          </w:p>
        </w:tc>
        <w:tc>
          <w:tcPr>
            <w:tcW w:w="2031" w:type="pct"/>
          </w:tcPr>
          <w:p w:rsidR="00C25C1B" w:rsidRPr="00BF20D1" w:rsidRDefault="00C25C1B" w:rsidP="00C25C1B">
            <w:pPr>
              <w:suppressAutoHyphens/>
              <w:spacing w:after="0" w:line="240" w:lineRule="auto"/>
              <w:rPr>
                <w:rFonts w:ascii="Times New Roman" w:hAnsi="Times New Roman"/>
                <w:sz w:val="24"/>
                <w:szCs w:val="24"/>
                <w:lang w:val="uk-UA"/>
              </w:rPr>
            </w:pPr>
            <w:r w:rsidRPr="00BF20D1">
              <w:rPr>
                <w:rFonts w:ascii="Times New Roman" w:hAnsi="Times New Roman"/>
                <w:sz w:val="24"/>
                <w:szCs w:val="24"/>
                <w:lang w:val="uk-UA"/>
              </w:rPr>
              <w:t>Дріт нікелевий ПН-2 3мм ДСТУ 492-2007 або еквівалент</w:t>
            </w:r>
          </w:p>
        </w:tc>
        <w:tc>
          <w:tcPr>
            <w:tcW w:w="1538" w:type="pct"/>
          </w:tcPr>
          <w:p w:rsidR="00C25C1B" w:rsidRPr="00823313" w:rsidRDefault="00C25C1B" w:rsidP="00C25C1B">
            <w:pPr>
              <w:spacing w:after="0" w:line="240" w:lineRule="auto"/>
              <w:jc w:val="both"/>
              <w:rPr>
                <w:rFonts w:ascii="Times New Roman" w:hAnsi="Times New Roman"/>
                <w:color w:val="FF0000"/>
                <w:sz w:val="24"/>
                <w:szCs w:val="24"/>
                <w:lang w:val="uk-UA"/>
              </w:rPr>
            </w:pPr>
          </w:p>
        </w:tc>
        <w:tc>
          <w:tcPr>
            <w:tcW w:w="468" w:type="pct"/>
          </w:tcPr>
          <w:p w:rsidR="00C25C1B" w:rsidRPr="00BF20D1" w:rsidRDefault="00C25C1B" w:rsidP="00C25C1B">
            <w:pPr>
              <w:suppressAutoHyphens/>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кг</w:t>
            </w:r>
          </w:p>
        </w:tc>
        <w:tc>
          <w:tcPr>
            <w:tcW w:w="668" w:type="pct"/>
            <w:vAlign w:val="center"/>
          </w:tcPr>
          <w:p w:rsidR="00C25C1B" w:rsidRPr="00BF20D1" w:rsidRDefault="00C25C1B" w:rsidP="00C25C1B">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13</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9D14BF" w:rsidRPr="00B101E6" w:rsidRDefault="009D14BF" w:rsidP="009D14BF">
      <w:pPr>
        <w:spacing w:after="0" w:line="240" w:lineRule="auto"/>
        <w:jc w:val="center"/>
        <w:rPr>
          <w:rFonts w:ascii="Times New Roman" w:eastAsia="Times New Roman" w:hAnsi="Times New Roman"/>
          <w:b/>
          <w:sz w:val="24"/>
          <w:szCs w:val="24"/>
          <w:lang w:val="uk-UA" w:eastAsia="ru-RU"/>
        </w:rPr>
      </w:pPr>
      <w:r w:rsidRPr="00B101E6">
        <w:rPr>
          <w:rFonts w:ascii="Times New Roman" w:eastAsia="Times New Roman" w:hAnsi="Times New Roman"/>
          <w:b/>
          <w:sz w:val="24"/>
          <w:szCs w:val="24"/>
          <w:lang w:val="uk-UA" w:eastAsia="ru-RU"/>
        </w:rPr>
        <w:t>Технічні характеристики</w:t>
      </w:r>
    </w:p>
    <w:p w:rsidR="009D14BF" w:rsidRPr="00BF20D1" w:rsidRDefault="009D14BF" w:rsidP="009D14BF">
      <w:pPr>
        <w:spacing w:before="120" w:after="120" w:line="240" w:lineRule="auto"/>
        <w:jc w:val="center"/>
        <w:rPr>
          <w:rFonts w:ascii="Times New Roman" w:eastAsia="Times New Roman" w:hAnsi="Times New Roman"/>
          <w:sz w:val="24"/>
          <w:szCs w:val="24"/>
          <w:lang w:val="uk-UA" w:eastAsia="ru-RU"/>
        </w:rPr>
      </w:pPr>
      <w:r w:rsidRPr="00BF20D1">
        <w:rPr>
          <w:rFonts w:ascii="Times New Roman" w:eastAsia="Times New Roman" w:hAnsi="Times New Roman"/>
          <w:sz w:val="24"/>
          <w:szCs w:val="24"/>
          <w:lang w:val="uk-UA" w:eastAsia="ru-RU"/>
        </w:rPr>
        <w:t>Нікелевий порошок</w:t>
      </w:r>
    </w:p>
    <w:tbl>
      <w:tblPr>
        <w:tblW w:w="0" w:type="auto"/>
        <w:jc w:val="center"/>
        <w:tblLayout w:type="fixed"/>
        <w:tblLook w:val="0000" w:firstRow="0" w:lastRow="0" w:firstColumn="0" w:lastColumn="0" w:noHBand="0" w:noVBand="0"/>
      </w:tblPr>
      <w:tblGrid>
        <w:gridCol w:w="4924"/>
        <w:gridCol w:w="4922"/>
      </w:tblGrid>
      <w:tr w:rsidR="009D14BF" w:rsidRPr="00DC6502" w:rsidTr="00E45380">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E45380">
            <w:pPr>
              <w:spacing w:after="0" w:line="240" w:lineRule="auto"/>
              <w:jc w:val="center"/>
              <w:rPr>
                <w:rFonts w:ascii="Times New Roman" w:hAnsi="Times New Roman"/>
                <w:bCs/>
                <w:sz w:val="24"/>
                <w:lang w:val="uk-UA"/>
              </w:rPr>
            </w:pPr>
            <w:r w:rsidRPr="00DC6502">
              <w:rPr>
                <w:rFonts w:ascii="Times New Roman" w:hAnsi="Times New Roman"/>
                <w:sz w:val="24"/>
                <w:lang w:val="uk-UA"/>
              </w:rPr>
              <w:t>Найменування показників</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E45380">
            <w:pPr>
              <w:spacing w:after="0" w:line="240" w:lineRule="auto"/>
              <w:ind w:firstLine="504"/>
              <w:jc w:val="center"/>
              <w:rPr>
                <w:rFonts w:ascii="Times New Roman" w:hAnsi="Times New Roman"/>
                <w:bCs/>
                <w:sz w:val="24"/>
                <w:lang w:val="uk-UA"/>
              </w:rPr>
            </w:pPr>
            <w:r w:rsidRPr="00DC6502">
              <w:rPr>
                <w:rFonts w:ascii="Times New Roman" w:hAnsi="Times New Roman"/>
                <w:bCs/>
                <w:sz w:val="24"/>
                <w:lang w:val="uk-UA"/>
              </w:rPr>
              <w:t>Значення показника</w:t>
            </w:r>
            <w:r w:rsidRPr="00DC6502">
              <w:rPr>
                <w:rFonts w:ascii="Times New Roman" w:hAnsi="Times New Roman"/>
                <w:sz w:val="24"/>
                <w:lang w:val="uk-UA"/>
              </w:rPr>
              <w:t>,</w:t>
            </w:r>
            <w:r w:rsidRPr="00DC6502">
              <w:rPr>
                <w:rFonts w:ascii="Times New Roman" w:hAnsi="Times New Roman"/>
                <w:b/>
                <w:sz w:val="24"/>
                <w:lang w:val="uk-UA"/>
              </w:rPr>
              <w:t xml:space="preserve"> </w:t>
            </w:r>
            <w:r w:rsidRPr="00DC6502">
              <w:rPr>
                <w:rFonts w:ascii="Times New Roman" w:hAnsi="Times New Roman"/>
                <w:bCs/>
                <w:sz w:val="24"/>
                <w:lang w:val="uk-UA"/>
              </w:rPr>
              <w:t>%</w:t>
            </w:r>
            <w:r>
              <w:rPr>
                <w:rFonts w:ascii="Times New Roman" w:hAnsi="Times New Roman"/>
                <w:bCs/>
                <w:sz w:val="24"/>
                <w:lang w:val="uk-UA"/>
              </w:rPr>
              <w:t>,</w:t>
            </w:r>
          </w:p>
          <w:p w:rsidR="009D14BF" w:rsidRPr="00DC6502" w:rsidRDefault="009D14BF" w:rsidP="00E45380">
            <w:pPr>
              <w:spacing w:after="0" w:line="240" w:lineRule="auto"/>
              <w:ind w:firstLine="504"/>
              <w:jc w:val="center"/>
              <w:rPr>
                <w:rFonts w:ascii="Times New Roman" w:hAnsi="Times New Roman"/>
                <w:sz w:val="24"/>
              </w:rPr>
            </w:pPr>
            <w:r w:rsidRPr="00DC6502">
              <w:rPr>
                <w:rFonts w:ascii="Times New Roman" w:hAnsi="Times New Roman"/>
                <w:bCs/>
                <w:sz w:val="24"/>
                <w:lang w:val="uk-UA"/>
              </w:rPr>
              <w:t xml:space="preserve">згідно </w:t>
            </w:r>
            <w:r>
              <w:rPr>
                <w:rFonts w:ascii="Times New Roman" w:hAnsi="Times New Roman"/>
                <w:bCs/>
                <w:sz w:val="24"/>
                <w:lang w:val="uk-UA"/>
              </w:rPr>
              <w:t xml:space="preserve">з </w:t>
            </w:r>
            <w:r w:rsidRPr="00DC6502">
              <w:rPr>
                <w:rFonts w:ascii="Times New Roman" w:hAnsi="Times New Roman"/>
                <w:spacing w:val="-2"/>
                <w:sz w:val="24"/>
                <w:lang w:val="uk-UA"/>
              </w:rPr>
              <w:t>ГОСТ 9722-97</w:t>
            </w:r>
          </w:p>
        </w:tc>
      </w:tr>
      <w:tr w:rsidR="009D14BF" w:rsidRPr="00DC6502" w:rsidTr="00E45380">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E45380">
            <w:pPr>
              <w:spacing w:after="0" w:line="240" w:lineRule="auto"/>
              <w:ind w:left="422" w:hanging="283"/>
              <w:rPr>
                <w:rFonts w:ascii="Times New Roman" w:hAnsi="Times New Roman"/>
                <w:sz w:val="24"/>
                <w:lang w:val="uk-UA"/>
              </w:rPr>
            </w:pPr>
            <w:r w:rsidRPr="00DC6502">
              <w:rPr>
                <w:rFonts w:ascii="Times New Roman" w:hAnsi="Times New Roman"/>
                <w:sz w:val="24"/>
                <w:lang w:val="uk-UA"/>
              </w:rPr>
              <w:t xml:space="preserve">1. Марка </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E45380">
            <w:pPr>
              <w:shd w:val="clear" w:color="auto" w:fill="FFFFFF"/>
              <w:spacing w:after="0" w:line="240" w:lineRule="auto"/>
              <w:rPr>
                <w:rFonts w:ascii="Times New Roman" w:hAnsi="Times New Roman"/>
                <w:sz w:val="24"/>
              </w:rPr>
            </w:pPr>
            <w:r w:rsidRPr="00DC6502">
              <w:rPr>
                <w:rFonts w:ascii="Times New Roman" w:hAnsi="Times New Roman"/>
                <w:sz w:val="24"/>
                <w:lang w:val="uk-UA"/>
              </w:rPr>
              <w:t>ПНЕ-1</w:t>
            </w:r>
          </w:p>
        </w:tc>
      </w:tr>
      <w:tr w:rsidR="009D14BF" w:rsidRPr="00DC6502" w:rsidTr="00E45380">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E45380">
            <w:pPr>
              <w:spacing w:after="0" w:line="240" w:lineRule="auto"/>
              <w:ind w:left="422" w:hanging="283"/>
              <w:rPr>
                <w:rFonts w:ascii="Times New Roman" w:hAnsi="Times New Roman"/>
                <w:sz w:val="24"/>
              </w:rPr>
            </w:pPr>
            <w:r w:rsidRPr="00DC6502">
              <w:rPr>
                <w:rFonts w:ascii="Times New Roman" w:hAnsi="Times New Roman"/>
                <w:sz w:val="24"/>
                <w:lang w:val="uk-UA"/>
              </w:rPr>
              <w:t xml:space="preserve">2. </w:t>
            </w:r>
            <w:bookmarkStart w:id="43" w:name="result_box"/>
            <w:bookmarkEnd w:id="43"/>
            <w:r w:rsidRPr="008E0DD5">
              <w:rPr>
                <w:rFonts w:ascii="Times New Roman" w:hAnsi="Times New Roman"/>
                <w:sz w:val="24"/>
                <w:lang w:val="uk-UA"/>
              </w:rPr>
              <w:t>Розмір часток</w:t>
            </w:r>
          </w:p>
          <w:p w:rsidR="009D14BF" w:rsidRPr="00DC6502" w:rsidRDefault="009D14BF" w:rsidP="00E45380">
            <w:pPr>
              <w:spacing w:after="0" w:line="240" w:lineRule="auto"/>
              <w:ind w:left="422" w:hanging="283"/>
              <w:rPr>
                <w:rFonts w:ascii="Times New Roman" w:hAnsi="Times New Roman"/>
                <w:sz w:val="24"/>
              </w:rPr>
            </w:pPr>
          </w:p>
          <w:p w:rsidR="009D14BF" w:rsidRPr="00DC6502" w:rsidRDefault="009D14BF" w:rsidP="00E45380">
            <w:pPr>
              <w:spacing w:after="0" w:line="240" w:lineRule="auto"/>
              <w:ind w:left="422" w:hanging="283"/>
              <w:rPr>
                <w:rFonts w:ascii="Times New Roman" w:hAnsi="Times New Roman"/>
                <w:sz w:val="24"/>
              </w:rPr>
            </w:pPr>
          </w:p>
          <w:p w:rsidR="009D14BF" w:rsidRPr="00DC6502" w:rsidRDefault="009D14BF" w:rsidP="00E45380">
            <w:pPr>
              <w:spacing w:after="0" w:line="240" w:lineRule="auto"/>
              <w:ind w:left="422" w:hanging="283"/>
              <w:rPr>
                <w:rFonts w:ascii="Times New Roman" w:hAnsi="Times New Roman"/>
                <w:sz w:val="24"/>
              </w:rPr>
            </w:pPr>
            <w:r w:rsidRPr="00DC6502">
              <w:rPr>
                <w:rFonts w:ascii="Times New Roman" w:hAnsi="Times New Roman"/>
                <w:sz w:val="24"/>
                <w:lang w:val="uk-UA"/>
              </w:rPr>
              <w:t>Допустимі відхилення</w:t>
            </w:r>
          </w:p>
          <w:p w:rsidR="009D14BF" w:rsidRPr="00DC6502" w:rsidRDefault="009D14BF" w:rsidP="00E45380">
            <w:pPr>
              <w:spacing w:after="0" w:line="240" w:lineRule="auto"/>
              <w:ind w:left="422" w:hanging="283"/>
              <w:rPr>
                <w:rFonts w:ascii="Times New Roman" w:hAnsi="Times New Roman"/>
                <w:sz w:val="24"/>
              </w:rPr>
            </w:pP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E45380">
            <w:pPr>
              <w:spacing w:after="0" w:line="240" w:lineRule="auto"/>
              <w:jc w:val="both"/>
              <w:rPr>
                <w:rFonts w:ascii="Times New Roman" w:hAnsi="Times New Roman"/>
                <w:sz w:val="24"/>
                <w:lang w:val="uk-UA"/>
              </w:rPr>
            </w:pPr>
            <w:bookmarkStart w:id="44" w:name="result_box1"/>
            <w:bookmarkEnd w:id="44"/>
            <w:r w:rsidRPr="00DC6502">
              <w:rPr>
                <w:rFonts w:ascii="Times New Roman" w:hAnsi="Times New Roman"/>
                <w:sz w:val="24"/>
                <w:lang w:val="uk-UA"/>
              </w:rPr>
              <w:t>Менше 71 мкм</w:t>
            </w:r>
          </w:p>
          <w:p w:rsidR="009D14BF" w:rsidRPr="00DC6502" w:rsidRDefault="009D14BF" w:rsidP="00E45380">
            <w:pPr>
              <w:spacing w:after="0" w:line="240" w:lineRule="auto"/>
              <w:jc w:val="both"/>
              <w:rPr>
                <w:rFonts w:ascii="Times New Roman" w:hAnsi="Times New Roman"/>
                <w:sz w:val="24"/>
                <w:lang w:val="uk-UA"/>
              </w:rPr>
            </w:pPr>
            <w:r w:rsidRPr="00DC6502">
              <w:rPr>
                <w:rFonts w:ascii="Times New Roman" w:hAnsi="Times New Roman"/>
                <w:sz w:val="24"/>
                <w:lang w:val="uk-UA"/>
              </w:rPr>
              <w:t>Вміст ч</w:t>
            </w:r>
            <w:r>
              <w:rPr>
                <w:rFonts w:ascii="Times New Roman" w:hAnsi="Times New Roman"/>
                <w:sz w:val="24"/>
                <w:lang w:val="uk-UA"/>
              </w:rPr>
              <w:t>асток порошку розміром менше 45 </w:t>
            </w:r>
            <w:r w:rsidRPr="00DC6502">
              <w:rPr>
                <w:rFonts w:ascii="Times New Roman" w:hAnsi="Times New Roman"/>
                <w:sz w:val="24"/>
                <w:lang w:val="uk-UA"/>
              </w:rPr>
              <w:t>мкм – не менше 30% від маси партії.</w:t>
            </w:r>
          </w:p>
          <w:p w:rsidR="009D14BF" w:rsidRPr="00DC6502" w:rsidRDefault="009D14BF" w:rsidP="00E45380">
            <w:pPr>
              <w:spacing w:after="0" w:line="240" w:lineRule="auto"/>
              <w:jc w:val="both"/>
              <w:rPr>
                <w:rFonts w:ascii="Times New Roman" w:hAnsi="Times New Roman"/>
                <w:sz w:val="24"/>
              </w:rPr>
            </w:pPr>
            <w:bookmarkStart w:id="45" w:name="result_box2"/>
            <w:bookmarkEnd w:id="45"/>
            <w:r w:rsidRPr="00DC6502">
              <w:rPr>
                <w:rFonts w:ascii="Times New Roman" w:hAnsi="Times New Roman"/>
                <w:sz w:val="24"/>
                <w:lang w:val="uk-UA"/>
              </w:rPr>
              <w:t>Вміст ча</w:t>
            </w:r>
            <w:r>
              <w:rPr>
                <w:rFonts w:ascii="Times New Roman" w:hAnsi="Times New Roman"/>
                <w:sz w:val="24"/>
                <w:lang w:val="uk-UA"/>
              </w:rPr>
              <w:t>сток порошку розміром більше 71 </w:t>
            </w:r>
            <w:r w:rsidRPr="00DC6502">
              <w:rPr>
                <w:rFonts w:ascii="Times New Roman" w:hAnsi="Times New Roman"/>
                <w:sz w:val="24"/>
                <w:lang w:val="uk-UA"/>
              </w:rPr>
              <w:t>мкм – не більше 4% від маси партії.</w:t>
            </w:r>
          </w:p>
        </w:tc>
      </w:tr>
      <w:tr w:rsidR="009D14BF" w:rsidRPr="00DC6502" w:rsidTr="00E45380">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E45380">
            <w:pPr>
              <w:spacing w:after="0" w:line="240" w:lineRule="auto"/>
              <w:ind w:left="422" w:hanging="283"/>
              <w:rPr>
                <w:rFonts w:ascii="Times New Roman" w:hAnsi="Times New Roman"/>
                <w:sz w:val="24"/>
                <w:lang w:val="uk-UA"/>
              </w:rPr>
            </w:pPr>
            <w:r w:rsidRPr="00DC6502">
              <w:rPr>
                <w:rFonts w:ascii="Times New Roman" w:hAnsi="Times New Roman"/>
                <w:sz w:val="24"/>
                <w:lang w:val="uk-UA"/>
              </w:rPr>
              <w:t>3. Масова частка суми нікелю та кобальту, %, не менше,</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99,5</w:t>
            </w:r>
          </w:p>
        </w:tc>
      </w:tr>
      <w:tr w:rsidR="009D14BF" w:rsidRPr="00DC6502" w:rsidTr="00E45380">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E45380">
            <w:pPr>
              <w:spacing w:after="0" w:line="240" w:lineRule="auto"/>
              <w:ind w:left="422" w:hanging="283"/>
              <w:rPr>
                <w:rFonts w:ascii="Times New Roman" w:hAnsi="Times New Roman"/>
                <w:sz w:val="24"/>
                <w:lang w:val="uk-UA"/>
              </w:rPr>
            </w:pPr>
            <w:r w:rsidRPr="00DC6502">
              <w:rPr>
                <w:rFonts w:ascii="Times New Roman" w:hAnsi="Times New Roman"/>
                <w:sz w:val="24"/>
                <w:lang w:val="uk-UA"/>
              </w:rPr>
              <w:t>4. Зміст домішок, %, не більше</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E45380">
            <w:pPr>
              <w:snapToGrid w:val="0"/>
              <w:spacing w:after="0" w:line="240" w:lineRule="auto"/>
              <w:jc w:val="center"/>
              <w:rPr>
                <w:rFonts w:ascii="Times New Roman" w:hAnsi="Times New Roman"/>
                <w:sz w:val="24"/>
                <w:lang w:val="uk-UA"/>
              </w:rPr>
            </w:pPr>
          </w:p>
        </w:tc>
      </w:tr>
      <w:tr w:rsidR="009D14BF" w:rsidRPr="00DC6502" w:rsidTr="00E45380">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uk-UA"/>
              </w:rPr>
            </w:pPr>
            <w:r w:rsidRPr="00DC6502">
              <w:rPr>
                <w:rFonts w:ascii="Times New Roman" w:hAnsi="Times New Roman"/>
                <w:sz w:val="24"/>
                <w:lang w:val="uk-UA"/>
              </w:rPr>
              <w:t>Вуглець (С)</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0,02</w:t>
            </w:r>
          </w:p>
        </w:tc>
      </w:tr>
      <w:tr w:rsidR="009D14BF" w:rsidRPr="00DC6502" w:rsidTr="00E45380">
        <w:trPr>
          <w:jc w:val="center"/>
        </w:trPr>
        <w:tc>
          <w:tcPr>
            <w:tcW w:w="4924" w:type="dxa"/>
            <w:tcBorders>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en-US"/>
              </w:rPr>
            </w:pPr>
            <w:r w:rsidRPr="00DC6502">
              <w:rPr>
                <w:rFonts w:ascii="Times New Roman" w:hAnsi="Times New Roman"/>
                <w:sz w:val="24"/>
                <w:lang w:val="uk-UA"/>
              </w:rPr>
              <w:t xml:space="preserve">Залізо </w:t>
            </w:r>
            <w:r w:rsidRPr="00DC6502">
              <w:rPr>
                <w:rFonts w:ascii="Times New Roman" w:hAnsi="Times New Roman"/>
                <w:sz w:val="24"/>
                <w:lang w:val="en-US"/>
              </w:rPr>
              <w:t>(Fe)</w:t>
            </w:r>
          </w:p>
        </w:tc>
        <w:tc>
          <w:tcPr>
            <w:tcW w:w="4922" w:type="dxa"/>
            <w:tcBorders>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0,1</w:t>
            </w:r>
          </w:p>
        </w:tc>
      </w:tr>
      <w:tr w:rsidR="009D14BF" w:rsidRPr="00DC6502" w:rsidTr="00E45380">
        <w:trPr>
          <w:jc w:val="center"/>
        </w:trPr>
        <w:tc>
          <w:tcPr>
            <w:tcW w:w="4924" w:type="dxa"/>
            <w:tcBorders>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en-US"/>
              </w:rPr>
            </w:pPr>
            <w:r w:rsidRPr="00DC6502">
              <w:rPr>
                <w:rFonts w:ascii="Times New Roman" w:hAnsi="Times New Roman"/>
                <w:sz w:val="24"/>
                <w:lang w:val="uk-UA"/>
              </w:rPr>
              <w:t>Кобальт</w:t>
            </w:r>
            <w:r w:rsidRPr="00DC6502">
              <w:rPr>
                <w:rFonts w:ascii="Times New Roman" w:hAnsi="Times New Roman"/>
                <w:sz w:val="24"/>
                <w:lang w:val="en-US"/>
              </w:rPr>
              <w:t xml:space="preserve"> (Co)</w:t>
            </w:r>
          </w:p>
        </w:tc>
        <w:tc>
          <w:tcPr>
            <w:tcW w:w="4922" w:type="dxa"/>
            <w:tcBorders>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0,2</w:t>
            </w:r>
          </w:p>
        </w:tc>
      </w:tr>
      <w:tr w:rsidR="009D14BF" w:rsidRPr="00DC6502" w:rsidTr="00E45380">
        <w:trPr>
          <w:jc w:val="center"/>
        </w:trPr>
        <w:tc>
          <w:tcPr>
            <w:tcW w:w="4924" w:type="dxa"/>
            <w:tcBorders>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en-US"/>
              </w:rPr>
            </w:pPr>
            <w:r w:rsidRPr="00DC6502">
              <w:rPr>
                <w:rFonts w:ascii="Times New Roman" w:hAnsi="Times New Roman"/>
                <w:sz w:val="24"/>
                <w:lang w:val="uk-UA"/>
              </w:rPr>
              <w:lastRenderedPageBreak/>
              <w:t>Кремній</w:t>
            </w:r>
            <w:r w:rsidRPr="00DC6502">
              <w:rPr>
                <w:rFonts w:ascii="Times New Roman" w:hAnsi="Times New Roman"/>
                <w:sz w:val="24"/>
                <w:lang w:val="en-US"/>
              </w:rPr>
              <w:t xml:space="preserve"> (Si)</w:t>
            </w:r>
          </w:p>
        </w:tc>
        <w:tc>
          <w:tcPr>
            <w:tcW w:w="4922" w:type="dxa"/>
            <w:tcBorders>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0,03</w:t>
            </w:r>
          </w:p>
        </w:tc>
      </w:tr>
      <w:tr w:rsidR="009D14BF" w:rsidRPr="00DC6502" w:rsidTr="00E45380">
        <w:trPr>
          <w:jc w:val="center"/>
        </w:trPr>
        <w:tc>
          <w:tcPr>
            <w:tcW w:w="4924" w:type="dxa"/>
            <w:tcBorders>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en-US"/>
              </w:rPr>
            </w:pPr>
            <w:r w:rsidRPr="00DC6502">
              <w:rPr>
                <w:rFonts w:ascii="Times New Roman" w:hAnsi="Times New Roman"/>
                <w:sz w:val="24"/>
                <w:lang w:val="uk-UA"/>
              </w:rPr>
              <w:t>Кисень</w:t>
            </w:r>
            <w:r w:rsidRPr="00DC6502">
              <w:rPr>
                <w:rFonts w:ascii="Times New Roman" w:hAnsi="Times New Roman"/>
                <w:sz w:val="24"/>
                <w:lang w:val="en-US"/>
              </w:rPr>
              <w:t xml:space="preserve"> (O)</w:t>
            </w:r>
          </w:p>
        </w:tc>
        <w:tc>
          <w:tcPr>
            <w:tcW w:w="4922" w:type="dxa"/>
            <w:tcBorders>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0,1</w:t>
            </w:r>
          </w:p>
        </w:tc>
      </w:tr>
      <w:tr w:rsidR="009D14BF" w:rsidRPr="00DC6502" w:rsidTr="00E45380">
        <w:trPr>
          <w:jc w:val="center"/>
        </w:trPr>
        <w:tc>
          <w:tcPr>
            <w:tcW w:w="4924" w:type="dxa"/>
            <w:tcBorders>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en-US"/>
              </w:rPr>
            </w:pPr>
            <w:r w:rsidRPr="00DC6502">
              <w:rPr>
                <w:rFonts w:ascii="Times New Roman" w:hAnsi="Times New Roman"/>
                <w:sz w:val="24"/>
                <w:lang w:val="uk-UA"/>
              </w:rPr>
              <w:t>Мідь</w:t>
            </w:r>
            <w:r w:rsidRPr="00DC6502">
              <w:rPr>
                <w:rFonts w:ascii="Times New Roman" w:hAnsi="Times New Roman"/>
                <w:sz w:val="24"/>
                <w:lang w:val="en-US"/>
              </w:rPr>
              <w:t xml:space="preserve"> (Cu)</w:t>
            </w:r>
          </w:p>
        </w:tc>
        <w:tc>
          <w:tcPr>
            <w:tcW w:w="4922" w:type="dxa"/>
            <w:tcBorders>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0,06</w:t>
            </w:r>
          </w:p>
        </w:tc>
      </w:tr>
      <w:tr w:rsidR="009D14BF" w:rsidRPr="00DC6502" w:rsidTr="00E45380">
        <w:trPr>
          <w:jc w:val="center"/>
        </w:trPr>
        <w:tc>
          <w:tcPr>
            <w:tcW w:w="4924" w:type="dxa"/>
            <w:tcBorders>
              <w:left w:val="single" w:sz="4" w:space="0" w:color="000000"/>
              <w:bottom w:val="single" w:sz="4" w:space="0" w:color="000000"/>
            </w:tcBorders>
          </w:tcPr>
          <w:p w:rsidR="009D14BF" w:rsidRPr="00DC6502" w:rsidRDefault="009D14BF" w:rsidP="00E45380">
            <w:pPr>
              <w:spacing w:after="0" w:line="240" w:lineRule="auto"/>
              <w:rPr>
                <w:rFonts w:ascii="Times New Roman" w:hAnsi="Times New Roman"/>
                <w:sz w:val="24"/>
                <w:lang w:val="en-US"/>
              </w:rPr>
            </w:pPr>
            <w:r w:rsidRPr="00DC6502">
              <w:rPr>
                <w:rFonts w:ascii="Times New Roman" w:hAnsi="Times New Roman"/>
                <w:sz w:val="24"/>
                <w:lang w:val="uk-UA"/>
              </w:rPr>
              <w:t>Сірка</w:t>
            </w:r>
            <w:r w:rsidRPr="00DC6502">
              <w:rPr>
                <w:rFonts w:ascii="Times New Roman" w:hAnsi="Times New Roman"/>
                <w:sz w:val="24"/>
                <w:lang w:val="en-US"/>
              </w:rPr>
              <w:t xml:space="preserve"> (S)</w:t>
            </w:r>
          </w:p>
        </w:tc>
        <w:tc>
          <w:tcPr>
            <w:tcW w:w="4922" w:type="dxa"/>
            <w:tcBorders>
              <w:left w:val="single" w:sz="4" w:space="0" w:color="000000"/>
              <w:bottom w:val="single" w:sz="4" w:space="0" w:color="000000"/>
              <w:right w:val="single" w:sz="4" w:space="0" w:color="000000"/>
            </w:tcBorders>
          </w:tcPr>
          <w:p w:rsidR="009D14BF" w:rsidRPr="00DC6502" w:rsidRDefault="009D14BF" w:rsidP="00E45380">
            <w:pPr>
              <w:spacing w:after="0" w:line="240" w:lineRule="auto"/>
              <w:jc w:val="center"/>
              <w:rPr>
                <w:rFonts w:ascii="Times New Roman" w:hAnsi="Times New Roman"/>
                <w:sz w:val="24"/>
              </w:rPr>
            </w:pPr>
            <w:r w:rsidRPr="00DC6502">
              <w:rPr>
                <w:rFonts w:ascii="Times New Roman" w:hAnsi="Times New Roman"/>
                <w:sz w:val="24"/>
                <w:lang w:val="uk-UA"/>
              </w:rPr>
              <w:t>0,008</w:t>
            </w:r>
          </w:p>
        </w:tc>
      </w:tr>
    </w:tbl>
    <w:p w:rsidR="009D14BF" w:rsidRPr="006514B5" w:rsidRDefault="009D14BF" w:rsidP="009D14BF">
      <w:pPr>
        <w:spacing w:after="0" w:line="240" w:lineRule="auto"/>
        <w:jc w:val="both"/>
        <w:rPr>
          <w:rFonts w:ascii="Times New Roman" w:eastAsia="Times New Roman" w:hAnsi="Times New Roman"/>
          <w:sz w:val="24"/>
          <w:szCs w:val="24"/>
          <w:lang w:val="uk-UA" w:eastAsia="ru-RU"/>
        </w:rPr>
      </w:pPr>
    </w:p>
    <w:p w:rsidR="009D14BF" w:rsidRDefault="009D14BF" w:rsidP="009D14BF">
      <w:pPr>
        <w:spacing w:before="120" w:after="120" w:line="240" w:lineRule="auto"/>
        <w:jc w:val="center"/>
        <w:rPr>
          <w:rFonts w:ascii="Times New Roman" w:hAnsi="Times New Roman"/>
          <w:sz w:val="24"/>
          <w:szCs w:val="24"/>
          <w:lang w:val="uk-UA"/>
        </w:rPr>
      </w:pPr>
      <w:r w:rsidRPr="00556B49">
        <w:rPr>
          <w:rFonts w:ascii="Times New Roman" w:hAnsi="Times New Roman"/>
          <w:sz w:val="24"/>
          <w:szCs w:val="24"/>
          <w:lang w:val="uk-UA"/>
        </w:rPr>
        <w:t>Нікел</w:t>
      </w:r>
      <w:r>
        <w:rPr>
          <w:rFonts w:ascii="Times New Roman" w:hAnsi="Times New Roman"/>
          <w:sz w:val="24"/>
          <w:szCs w:val="24"/>
          <w:lang w:val="uk-UA"/>
        </w:rPr>
        <w:t>е</w:t>
      </w:r>
      <w:r w:rsidRPr="00556B49">
        <w:rPr>
          <w:rFonts w:ascii="Times New Roman" w:hAnsi="Times New Roman"/>
          <w:sz w:val="24"/>
          <w:szCs w:val="24"/>
          <w:lang w:val="uk-UA"/>
        </w:rPr>
        <w:t>вий дріт</w:t>
      </w:r>
    </w:p>
    <w:tbl>
      <w:tblPr>
        <w:tblStyle w:val="a5"/>
        <w:tblW w:w="0" w:type="auto"/>
        <w:jc w:val="center"/>
        <w:tblLook w:val="04A0" w:firstRow="1" w:lastRow="0" w:firstColumn="1" w:lastColumn="0" w:noHBand="0" w:noVBand="1"/>
      </w:tblPr>
      <w:tblGrid>
        <w:gridCol w:w="4890"/>
        <w:gridCol w:w="4891"/>
      </w:tblGrid>
      <w:tr w:rsidR="009D14BF" w:rsidRPr="00F66483" w:rsidTr="00E45380">
        <w:trPr>
          <w:jc w:val="center"/>
        </w:trPr>
        <w:tc>
          <w:tcPr>
            <w:tcW w:w="4890"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Найменування показників</w:t>
            </w:r>
          </w:p>
        </w:tc>
        <w:tc>
          <w:tcPr>
            <w:tcW w:w="4891" w:type="dxa"/>
          </w:tcPr>
          <w:p w:rsidR="009D14BF" w:rsidRDefault="009D14BF" w:rsidP="00E45380">
            <w:pPr>
              <w:pStyle w:val="a3"/>
              <w:spacing w:after="0" w:line="240" w:lineRule="auto"/>
              <w:ind w:left="0"/>
              <w:jc w:val="center"/>
              <w:rPr>
                <w:sz w:val="24"/>
                <w:szCs w:val="24"/>
                <w:lang w:val="uk-UA"/>
              </w:rPr>
            </w:pPr>
            <w:r w:rsidRPr="00F66483">
              <w:rPr>
                <w:sz w:val="24"/>
                <w:szCs w:val="24"/>
                <w:lang w:val="uk-UA"/>
              </w:rPr>
              <w:t>Хімічний склад, %</w:t>
            </w:r>
            <w:r>
              <w:rPr>
                <w:sz w:val="24"/>
                <w:szCs w:val="24"/>
                <w:lang w:val="uk-UA"/>
              </w:rPr>
              <w:t xml:space="preserve">, </w:t>
            </w:r>
          </w:p>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 xml:space="preserve">згідно </w:t>
            </w:r>
            <w:r>
              <w:rPr>
                <w:sz w:val="24"/>
                <w:szCs w:val="24"/>
                <w:lang w:val="uk-UA"/>
              </w:rPr>
              <w:t xml:space="preserve">з ДСТУ 492-2007 </w:t>
            </w:r>
          </w:p>
        </w:tc>
      </w:tr>
      <w:tr w:rsidR="009D14BF" w:rsidRPr="00F66483" w:rsidTr="00E45380">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Марка – нікель напівфабрикатний</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ПН-2</w:t>
            </w:r>
          </w:p>
        </w:tc>
      </w:tr>
      <w:tr w:rsidR="009D14BF" w:rsidRPr="00F66483" w:rsidTr="00E45380">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Номінальний діаметр</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2,5 – 3,0 мм</w:t>
            </w:r>
          </w:p>
        </w:tc>
      </w:tr>
      <w:tr w:rsidR="009D14BF" w:rsidRPr="00F66483" w:rsidTr="00E45380">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Масова частка суми нікелю та кобальту, %</w:t>
            </w:r>
            <w:r>
              <w:rPr>
                <w:sz w:val="24"/>
                <w:szCs w:val="24"/>
                <w:lang w:val="uk-UA"/>
              </w:rPr>
              <w:t>,</w:t>
            </w:r>
            <w:r w:rsidRPr="00F66483">
              <w:rPr>
                <w:sz w:val="24"/>
                <w:szCs w:val="24"/>
                <w:lang w:val="uk-UA"/>
              </w:rPr>
              <w:t xml:space="preserve"> не менше </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99,5</w:t>
            </w:r>
          </w:p>
        </w:tc>
      </w:tr>
      <w:tr w:rsidR="009D14BF" w:rsidRPr="00F66483" w:rsidTr="00E45380">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Вміст домішок</w:t>
            </w:r>
            <w:r>
              <w:rPr>
                <w:sz w:val="24"/>
                <w:szCs w:val="24"/>
                <w:lang w:val="uk-UA"/>
              </w:rPr>
              <w:t xml:space="preserve">, %, </w:t>
            </w:r>
            <w:r w:rsidRPr="00F66483">
              <w:rPr>
                <w:sz w:val="24"/>
                <w:szCs w:val="24"/>
                <w:lang w:val="uk-UA"/>
              </w:rPr>
              <w:t>не більше</w:t>
            </w:r>
          </w:p>
        </w:tc>
        <w:tc>
          <w:tcPr>
            <w:tcW w:w="4891" w:type="dxa"/>
          </w:tcPr>
          <w:p w:rsidR="009D14BF" w:rsidRPr="00F66483" w:rsidRDefault="009D14BF" w:rsidP="00E45380">
            <w:pPr>
              <w:pStyle w:val="a3"/>
              <w:spacing w:after="0" w:line="240" w:lineRule="auto"/>
              <w:ind w:left="0"/>
              <w:jc w:val="center"/>
              <w:rPr>
                <w:sz w:val="24"/>
                <w:szCs w:val="24"/>
                <w:lang w:val="uk-UA"/>
              </w:rPr>
            </w:pP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Кобальт</w:t>
            </w:r>
          </w:p>
        </w:tc>
        <w:tc>
          <w:tcPr>
            <w:tcW w:w="4891" w:type="dxa"/>
          </w:tcPr>
          <w:p w:rsidR="009D14BF" w:rsidRPr="00F66483" w:rsidRDefault="009D14BF" w:rsidP="00E45380">
            <w:pPr>
              <w:pStyle w:val="a3"/>
              <w:spacing w:after="0" w:line="240" w:lineRule="auto"/>
              <w:ind w:left="0"/>
              <w:jc w:val="center"/>
              <w:rPr>
                <w:sz w:val="24"/>
                <w:szCs w:val="24"/>
              </w:rPr>
            </w:pPr>
            <w:r w:rsidRPr="00F66483">
              <w:rPr>
                <w:sz w:val="24"/>
                <w:szCs w:val="24"/>
                <w:lang w:val="uk-UA"/>
              </w:rPr>
              <w:t>0,2</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Сірка</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0,005</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Вуглець</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0,1</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Фосфор</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0,002</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Вісмут</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0,002</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Миш</w:t>
            </w:r>
            <w:r>
              <w:rPr>
                <w:sz w:val="24"/>
                <w:szCs w:val="24"/>
                <w:lang w:val="uk-UA"/>
              </w:rPr>
              <w:t>’</w:t>
            </w:r>
            <w:r w:rsidRPr="00F66483">
              <w:rPr>
                <w:sz w:val="24"/>
                <w:szCs w:val="24"/>
                <w:lang w:val="uk-UA"/>
              </w:rPr>
              <w:t>як</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0,002</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Сурма</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0,002</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Цинк</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0,007</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Кадмій</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0,002</w:t>
            </w:r>
          </w:p>
        </w:tc>
      </w:tr>
      <w:tr w:rsidR="009D14BF" w:rsidRPr="00F66483" w:rsidTr="00E45380">
        <w:trPr>
          <w:jc w:val="center"/>
        </w:trPr>
        <w:tc>
          <w:tcPr>
            <w:tcW w:w="4890" w:type="dxa"/>
          </w:tcPr>
          <w:p w:rsidR="009D14BF" w:rsidRPr="00F66483" w:rsidRDefault="009D14BF" w:rsidP="00E45380">
            <w:pPr>
              <w:pStyle w:val="a3"/>
              <w:spacing w:after="0" w:line="240" w:lineRule="auto"/>
              <w:ind w:left="0"/>
              <w:jc w:val="both"/>
              <w:rPr>
                <w:sz w:val="24"/>
                <w:szCs w:val="24"/>
                <w:lang w:val="uk-UA"/>
              </w:rPr>
            </w:pPr>
            <w:r w:rsidRPr="00F66483">
              <w:rPr>
                <w:sz w:val="24"/>
                <w:szCs w:val="24"/>
                <w:lang w:val="uk-UA"/>
              </w:rPr>
              <w:t>Олово</w:t>
            </w:r>
          </w:p>
        </w:tc>
        <w:tc>
          <w:tcPr>
            <w:tcW w:w="4891" w:type="dxa"/>
          </w:tcPr>
          <w:p w:rsidR="009D14BF" w:rsidRPr="00F66483" w:rsidRDefault="009D14BF" w:rsidP="00E45380">
            <w:pPr>
              <w:pStyle w:val="a3"/>
              <w:spacing w:after="0" w:line="240" w:lineRule="auto"/>
              <w:ind w:left="0"/>
              <w:jc w:val="center"/>
              <w:rPr>
                <w:sz w:val="24"/>
                <w:szCs w:val="24"/>
                <w:lang w:val="uk-UA"/>
              </w:rPr>
            </w:pPr>
            <w:r w:rsidRPr="00F66483">
              <w:rPr>
                <w:sz w:val="24"/>
                <w:szCs w:val="24"/>
                <w:lang w:val="uk-UA"/>
              </w:rPr>
              <w:t>0,002</w:t>
            </w:r>
          </w:p>
        </w:tc>
      </w:tr>
    </w:tbl>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303FCB"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303FCB">
        <w:rPr>
          <w:rFonts w:ascii="Times New Roman" w:hAnsi="Times New Roman"/>
          <w:b/>
          <w:i/>
          <w:color w:val="0000FF"/>
          <w:sz w:val="24"/>
          <w:szCs w:val="24"/>
          <w:u w:val="single"/>
          <w:lang w:val="uk-UA" w:eastAsia="ar-SA"/>
        </w:rPr>
        <w:t>Примітка:</w:t>
      </w:r>
    </w:p>
    <w:p w:rsidR="00593FFB" w:rsidRPr="00303FCB"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AF2BEE">
        <w:rPr>
          <w:rFonts w:ascii="Times New Roman" w:hAnsi="Times New Roman"/>
          <w:iCs/>
          <w:color w:val="0000FF"/>
          <w:sz w:val="24"/>
          <w:szCs w:val="24"/>
          <w:lang w:val="uk-UA"/>
        </w:rPr>
        <w:t xml:space="preserve">Еквівалент у найменуванні (характеристиках) </w:t>
      </w:r>
      <w:r w:rsidRPr="00AF2BEE">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AF2BEE">
        <w:rPr>
          <w:rFonts w:ascii="Times New Roman" w:hAnsi="Times New Roman"/>
          <w:iCs/>
          <w:color w:val="0000FF"/>
          <w:sz w:val="24"/>
          <w:szCs w:val="24"/>
          <w:lang w:val="uk-UA"/>
        </w:rPr>
        <w:t>товар</w:t>
      </w:r>
      <w:r w:rsidRPr="00AF2BEE">
        <w:rPr>
          <w:rFonts w:ascii="Times New Roman" w:hAnsi="Times New Roman"/>
          <w:color w:val="0000FF"/>
          <w:sz w:val="24"/>
          <w:szCs w:val="24"/>
          <w:lang w:val="uk-UA"/>
        </w:rPr>
        <w:t>, який буде постачатися Учасником,</w:t>
      </w:r>
      <w:r w:rsidRPr="00AF2BEE">
        <w:rPr>
          <w:rFonts w:ascii="Times New Roman" w:hAnsi="Times New Roman"/>
          <w:iCs/>
          <w:color w:val="0000FF"/>
          <w:sz w:val="24"/>
          <w:szCs w:val="24"/>
          <w:lang w:val="uk-UA"/>
        </w:rPr>
        <w:t xml:space="preserve"> є</w:t>
      </w:r>
      <w:r w:rsidRPr="00303FCB">
        <w:rPr>
          <w:rFonts w:ascii="Times New Roman" w:hAnsi="Times New Roman"/>
          <w:iCs/>
          <w:color w:val="0000FF"/>
          <w:sz w:val="24"/>
          <w:szCs w:val="24"/>
          <w:lang w:val="uk-UA"/>
        </w:rPr>
        <w:t xml:space="preserve"> рівнозначним, рівноцінним іншому товару за своїми характеристиками; еквіваленти можуть бути взаємозамінними при досяг</w:t>
      </w:r>
      <w:r>
        <w:rPr>
          <w:rFonts w:ascii="Times New Roman" w:hAnsi="Times New Roman"/>
          <w:iCs/>
          <w:color w:val="0000FF"/>
          <w:sz w:val="24"/>
          <w:szCs w:val="24"/>
          <w:lang w:val="uk-UA"/>
        </w:rPr>
        <w:t>ненні того ж самого результату.</w:t>
      </w: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 xml:space="preserve">(фактичне місце ведення діяльності чи розташування </w:t>
            </w:r>
            <w:r w:rsidRPr="00823313">
              <w:rPr>
                <w:bCs/>
              </w:rPr>
              <w:lastRenderedPageBreak/>
              <w:t>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lastRenderedPageBreak/>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7479A"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 xml:space="preserve">на обробку </w:t>
            </w:r>
            <w:r w:rsidRPr="0017479A">
              <w:rPr>
                <w:iCs/>
              </w:rPr>
              <w:t>персональних даних відп</w:t>
            </w:r>
            <w:r w:rsidR="00504550" w:rsidRPr="0017479A">
              <w:rPr>
                <w:iCs/>
              </w:rPr>
              <w:t>овідно до Законодавства України</w:t>
            </w:r>
            <w:r w:rsidRPr="0017479A">
              <w:rPr>
                <w:iCs/>
              </w:rPr>
              <w:t>.</w:t>
            </w:r>
          </w:p>
          <w:p w:rsidR="00D70B83" w:rsidRPr="007141D2" w:rsidRDefault="007141D2" w:rsidP="00B22FA3">
            <w:pPr>
              <w:pStyle w:val="a7"/>
              <w:widowControl w:val="0"/>
              <w:spacing w:before="0" w:beforeAutospacing="0" w:after="60" w:afterAutospacing="0"/>
              <w:jc w:val="both"/>
              <w:rPr>
                <w:color w:val="FF0066"/>
              </w:rPr>
            </w:pPr>
            <w:r w:rsidRPr="0017479A">
              <w:t xml:space="preserve">Надання </w:t>
            </w:r>
            <w:r w:rsidR="00D70B83" w:rsidRPr="0017479A">
              <w:t xml:space="preserve">такої інформації </w:t>
            </w:r>
            <w:r w:rsidR="00E62DA0" w:rsidRPr="0017479A">
              <w:t xml:space="preserve">Учасником – </w:t>
            </w:r>
            <w:r w:rsidR="00D70B83" w:rsidRPr="0017479A">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7479A">
              <w:t>і, що подав тендерну пропозицію</w:t>
            </w:r>
            <w:r w:rsidR="00D70B83" w:rsidRPr="0017479A">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BF20D1" w:rsidRPr="00BF20D1"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bookmarkStart w:id="46" w:name="_GoBack" w:colFirst="1" w:colLast="3"/>
          </w:p>
        </w:tc>
        <w:tc>
          <w:tcPr>
            <w:tcW w:w="3031" w:type="pct"/>
            <w:gridSpan w:val="2"/>
            <w:tcBorders>
              <w:top w:val="single" w:sz="4" w:space="0" w:color="auto"/>
              <w:left w:val="single" w:sz="4" w:space="0" w:color="auto"/>
              <w:bottom w:val="single" w:sz="4" w:space="0" w:color="auto"/>
              <w:right w:val="single" w:sz="4" w:space="0" w:color="auto"/>
            </w:tcBorders>
          </w:tcPr>
          <w:p w:rsidR="00FB3CD7" w:rsidRPr="00BF20D1" w:rsidRDefault="005037F2" w:rsidP="00F819B4">
            <w:pPr>
              <w:pStyle w:val="a7"/>
              <w:widowControl w:val="0"/>
              <w:spacing w:before="0" w:beforeAutospacing="0" w:after="0" w:afterAutospacing="0"/>
              <w:jc w:val="both"/>
              <w:rPr>
                <w:sz w:val="27"/>
                <w:szCs w:val="27"/>
              </w:rPr>
            </w:pPr>
            <w:r w:rsidRPr="00BF20D1">
              <w:t xml:space="preserve">Документи, які підтверджують технічні та якісні характеристики предмету закупівлі, форма яких </w:t>
            </w:r>
            <w:r w:rsidRPr="00BF20D1">
              <w:lastRenderedPageBreak/>
              <w:t>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r w:rsidR="00E62DA0" w:rsidRPr="00BF20D1">
              <w:t xml:space="preserve"> </w:t>
            </w:r>
          </w:p>
          <w:p w:rsidR="002C32FE" w:rsidRPr="00BF20D1" w:rsidRDefault="00E62DA0" w:rsidP="00F819B4">
            <w:pPr>
              <w:pStyle w:val="a7"/>
              <w:widowControl w:val="0"/>
              <w:spacing w:before="0" w:beforeAutospacing="0" w:after="0" w:afterAutospacing="0"/>
              <w:jc w:val="both"/>
            </w:pPr>
            <w:r w:rsidRPr="00BF20D1">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BF20D1">
              <w:rPr>
                <w:b/>
              </w:rPr>
              <w:t>деякі</w:t>
            </w:r>
            <w:r w:rsidRPr="00BF20D1">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BF20D1">
              <w:rPr>
                <w:b/>
              </w:rPr>
              <w:t>виробника</w:t>
            </w:r>
            <w:r w:rsidRPr="00BF20D1">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BF20D1" w:rsidRDefault="00371571" w:rsidP="00F819B4">
            <w:pPr>
              <w:pStyle w:val="a7"/>
              <w:widowControl w:val="0"/>
              <w:spacing w:before="0" w:beforeAutospacing="0" w:after="0" w:afterAutospacing="0"/>
              <w:jc w:val="both"/>
              <w:rPr>
                <w:i/>
              </w:rPr>
            </w:pPr>
            <w:r w:rsidRPr="00BF20D1">
              <w:rPr>
                <w:i/>
              </w:rPr>
              <w:lastRenderedPageBreak/>
              <w:t>Учасник</w:t>
            </w:r>
            <w:r w:rsidR="00C06522" w:rsidRPr="00BF20D1">
              <w:rPr>
                <w:i/>
              </w:rPr>
              <w:t>ом надається сканкопія</w:t>
            </w:r>
          </w:p>
        </w:tc>
      </w:tr>
      <w:bookmarkEnd w:id="46"/>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w:t>
            </w:r>
            <w:r w:rsidR="00225AA4" w:rsidRPr="006E0F8F">
              <w:rPr>
                <w:rFonts w:ascii="Times New Roman" w:hAnsi="Times New Roman"/>
                <w:sz w:val="24"/>
                <w:szCs w:val="28"/>
              </w:rPr>
              <w:lastRenderedPageBreak/>
              <w:t>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FA" w:rsidRDefault="00E401FA" w:rsidP="004C1B73">
      <w:pPr>
        <w:spacing w:after="0" w:line="240" w:lineRule="auto"/>
      </w:pPr>
      <w:r>
        <w:separator/>
      </w:r>
    </w:p>
  </w:endnote>
  <w:endnote w:type="continuationSeparator" w:id="0">
    <w:p w:rsidR="00E401FA" w:rsidRDefault="00E401FA"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FA" w:rsidRPr="009104F8" w:rsidRDefault="00E401F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F20D1">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FA" w:rsidRDefault="00E401FA" w:rsidP="004C1B73">
      <w:pPr>
        <w:spacing w:after="0" w:line="240" w:lineRule="auto"/>
      </w:pPr>
      <w:r>
        <w:separator/>
      </w:r>
    </w:p>
  </w:footnote>
  <w:footnote w:type="continuationSeparator" w:id="0">
    <w:p w:rsidR="00E401FA" w:rsidRDefault="00E401FA"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FA" w:rsidRPr="009104F8" w:rsidRDefault="00E401F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5425BE"/>
    <w:multiLevelType w:val="hybridMultilevel"/>
    <w:tmpl w:val="DEE0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0"/>
  </w:num>
  <w:num w:numId="16">
    <w:abstractNumId w:val="12"/>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479A"/>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4BF"/>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0D1"/>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1B"/>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01FA"/>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38E3E945"/>
  <w15:docId w15:val="{E99358EA-C480-4EC1-A622-D8B7262C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8341-3B1B-4B6A-B0E0-B18FECB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8819</Words>
  <Characters>50270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58972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19</cp:revision>
  <cp:lastPrinted>2022-07-12T06:43:00Z</cp:lastPrinted>
  <dcterms:created xsi:type="dcterms:W3CDTF">2023-05-25T10:01:00Z</dcterms:created>
  <dcterms:modified xsi:type="dcterms:W3CDTF">2023-07-31T11:23:00Z</dcterms:modified>
</cp:coreProperties>
</file>