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B0" w:rsidRPr="00CD7243" w:rsidRDefault="003F0005">
      <w:pPr>
        <w:pStyle w:val="ac"/>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c"/>
                                    <w:ind w:firstLine="426"/>
                                    <w:jc w:val="both"/>
                                    <w:rPr>
                                      <w:rFonts w:ascii="Times New Roman" w:hAnsi="Times New Roman" w:cs="Times New Roman"/>
                                      <w:b/>
                                      <w:color w:val="auto"/>
                                      <w:sz w:val="20"/>
                                      <w:szCs w:val="20"/>
                                      <w:lang w:val="uk-UA"/>
                                    </w:rPr>
                                  </w:pP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EF79AD">
                                    <w:rPr>
                                      <w:b/>
                                      <w:color w:val="auto"/>
                                      <w:sz w:val="28"/>
                                      <w:szCs w:val="28"/>
                                      <w:lang w:val="uk-UA"/>
                                    </w:rPr>
                                    <w:t>І.ПЯЗА</w:t>
                                  </w:r>
                                  <w:r w:rsidR="00EF79AD" w:rsidRPr="007B702F">
                                    <w:rPr>
                                      <w:b/>
                                      <w:color w:val="auto"/>
                                      <w:sz w:val="28"/>
                                      <w:szCs w:val="28"/>
                                    </w:rPr>
                                    <w:t xml:space="preserve">  </w:t>
                                  </w:r>
                                </w:p>
                                <w:p w:rsidR="001307EC" w:rsidRPr="005D00A4" w:rsidRDefault="001307EC" w:rsidP="005D00A4">
                                  <w:pPr>
                                    <w:pStyle w:val="ac"/>
                                    <w:ind w:firstLine="426"/>
                                    <w:jc w:val="both"/>
                                    <w:rPr>
                                      <w:rFonts w:ascii="Times New Roman" w:hAnsi="Times New Roman" w:cs="Times New Roman"/>
                                      <w:color w:val="auto"/>
                                      <w:sz w:val="20"/>
                                      <w:szCs w:val="20"/>
                                      <w:lang w:val="uk-UA"/>
                                    </w:rPr>
                                  </w:pPr>
                                </w:p>
                                <w:p w:rsidR="001307EC" w:rsidRPr="009C4BF3" w:rsidRDefault="00E97BDC" w:rsidP="005D00A4">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25</w:t>
                                  </w:r>
                                  <w:r w:rsidR="001307EC" w:rsidRPr="005D00A4">
                                    <w:rPr>
                                      <w:rFonts w:ascii="Times New Roman" w:hAnsi="Times New Roman" w:cs="Times New Roman"/>
                                      <w:color w:val="auto"/>
                                      <w:sz w:val="28"/>
                                      <w:szCs w:val="28"/>
                                    </w:rPr>
                                    <w:t xml:space="preserve"> </w:t>
                                  </w:r>
                                  <w:r w:rsidR="00F57098">
                                    <w:rPr>
                                      <w:rFonts w:ascii="Times New Roman" w:hAnsi="Times New Roman" w:cs="Times New Roman"/>
                                      <w:color w:val="auto"/>
                                      <w:sz w:val="28"/>
                                      <w:szCs w:val="28"/>
                                      <w:lang w:val="uk-UA"/>
                                    </w:rPr>
                                    <w:t>травня</w:t>
                                  </w:r>
                                  <w:r w:rsidR="001307EC" w:rsidRPr="005D00A4">
                                    <w:rPr>
                                      <w:rFonts w:ascii="Times New Roman" w:hAnsi="Times New Roman" w:cs="Times New Roman"/>
                                      <w:color w:val="auto"/>
                                      <w:sz w:val="28"/>
                                      <w:szCs w:val="28"/>
                                    </w:rPr>
                                    <w:t xml:space="preserve"> </w:t>
                                  </w:r>
                                  <w:r w:rsidR="001307EC" w:rsidRPr="00D12FCE">
                                    <w:rPr>
                                      <w:rFonts w:ascii="Times New Roman" w:hAnsi="Times New Roman" w:cs="Times New Roman"/>
                                      <w:color w:val="auto"/>
                                      <w:sz w:val="28"/>
                                      <w:szCs w:val="28"/>
                                    </w:rPr>
                                    <w:t>20</w:t>
                                  </w:r>
                                  <w:r w:rsidR="001307EC" w:rsidRPr="00D12FCE">
                                    <w:rPr>
                                      <w:rFonts w:ascii="Times New Roman" w:hAnsi="Times New Roman" w:cs="Times New Roman"/>
                                      <w:color w:val="auto"/>
                                      <w:sz w:val="28"/>
                                      <w:szCs w:val="28"/>
                                      <w:lang w:val="en-US"/>
                                    </w:rPr>
                                    <w:t>2</w:t>
                                  </w:r>
                                  <w:r w:rsidR="00EA42F1" w:rsidRPr="00D12FCE">
                                    <w:rPr>
                                      <w:rFonts w:ascii="Times New Roman" w:hAnsi="Times New Roman" w:cs="Times New Roman"/>
                                      <w:color w:val="auto"/>
                                      <w:sz w:val="28"/>
                                      <w:szCs w:val="28"/>
                                      <w:lang w:val="uk-UA"/>
                                    </w:rPr>
                                    <w:t>3</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e"/>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c"/>
                              <w:ind w:firstLine="426"/>
                              <w:jc w:val="both"/>
                              <w:rPr>
                                <w:rFonts w:ascii="Times New Roman" w:hAnsi="Times New Roman" w:cs="Times New Roman"/>
                                <w:b/>
                                <w:color w:val="auto"/>
                                <w:sz w:val="20"/>
                                <w:szCs w:val="20"/>
                                <w:lang w:val="uk-UA"/>
                              </w:rPr>
                            </w:pP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EF79AD">
                              <w:rPr>
                                <w:b/>
                                <w:color w:val="auto"/>
                                <w:sz w:val="28"/>
                                <w:szCs w:val="28"/>
                                <w:lang w:val="uk-UA"/>
                              </w:rPr>
                              <w:t>І.ПЯЗА</w:t>
                            </w:r>
                            <w:r w:rsidR="00EF79AD" w:rsidRPr="007B702F">
                              <w:rPr>
                                <w:b/>
                                <w:color w:val="auto"/>
                                <w:sz w:val="28"/>
                                <w:szCs w:val="28"/>
                              </w:rPr>
                              <w:t xml:space="preserve">  </w:t>
                            </w:r>
                          </w:p>
                          <w:p w:rsidR="001307EC" w:rsidRPr="005D00A4" w:rsidRDefault="001307EC" w:rsidP="005D00A4">
                            <w:pPr>
                              <w:pStyle w:val="ac"/>
                              <w:ind w:firstLine="426"/>
                              <w:jc w:val="both"/>
                              <w:rPr>
                                <w:rFonts w:ascii="Times New Roman" w:hAnsi="Times New Roman" w:cs="Times New Roman"/>
                                <w:color w:val="auto"/>
                                <w:sz w:val="20"/>
                                <w:szCs w:val="20"/>
                                <w:lang w:val="uk-UA"/>
                              </w:rPr>
                            </w:pPr>
                          </w:p>
                          <w:p w:rsidR="001307EC" w:rsidRPr="009C4BF3" w:rsidRDefault="00E97BDC" w:rsidP="005D00A4">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25</w:t>
                            </w:r>
                            <w:r w:rsidR="001307EC" w:rsidRPr="005D00A4">
                              <w:rPr>
                                <w:rFonts w:ascii="Times New Roman" w:hAnsi="Times New Roman" w:cs="Times New Roman"/>
                                <w:color w:val="auto"/>
                                <w:sz w:val="28"/>
                                <w:szCs w:val="28"/>
                              </w:rPr>
                              <w:t xml:space="preserve"> </w:t>
                            </w:r>
                            <w:r w:rsidR="00F57098">
                              <w:rPr>
                                <w:rFonts w:ascii="Times New Roman" w:hAnsi="Times New Roman" w:cs="Times New Roman"/>
                                <w:color w:val="auto"/>
                                <w:sz w:val="28"/>
                                <w:szCs w:val="28"/>
                                <w:lang w:val="uk-UA"/>
                              </w:rPr>
                              <w:t>травня</w:t>
                            </w:r>
                            <w:r w:rsidR="001307EC" w:rsidRPr="005D00A4">
                              <w:rPr>
                                <w:rFonts w:ascii="Times New Roman" w:hAnsi="Times New Roman" w:cs="Times New Roman"/>
                                <w:color w:val="auto"/>
                                <w:sz w:val="28"/>
                                <w:szCs w:val="28"/>
                              </w:rPr>
                              <w:t xml:space="preserve"> </w:t>
                            </w:r>
                            <w:r w:rsidR="001307EC" w:rsidRPr="00D12FCE">
                              <w:rPr>
                                <w:rFonts w:ascii="Times New Roman" w:hAnsi="Times New Roman" w:cs="Times New Roman"/>
                                <w:color w:val="auto"/>
                                <w:sz w:val="28"/>
                                <w:szCs w:val="28"/>
                              </w:rPr>
                              <w:t>20</w:t>
                            </w:r>
                            <w:r w:rsidR="001307EC" w:rsidRPr="00D12FCE">
                              <w:rPr>
                                <w:rFonts w:ascii="Times New Roman" w:hAnsi="Times New Roman" w:cs="Times New Roman"/>
                                <w:color w:val="auto"/>
                                <w:sz w:val="28"/>
                                <w:szCs w:val="28"/>
                                <w:lang w:val="en-US"/>
                              </w:rPr>
                              <w:t>2</w:t>
                            </w:r>
                            <w:r w:rsidR="00EA42F1" w:rsidRPr="00D12FCE">
                              <w:rPr>
                                <w:rFonts w:ascii="Times New Roman" w:hAnsi="Times New Roman" w:cs="Times New Roman"/>
                                <w:color w:val="auto"/>
                                <w:sz w:val="28"/>
                                <w:szCs w:val="28"/>
                                <w:lang w:val="uk-UA"/>
                              </w:rPr>
                              <w:t>3</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e"/>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bookmarkStart w:id="0" w:name="_GoBack"/>
      <w:bookmarkEnd w:id="0"/>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Pr="00633C86"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1E0A7B" w:rsidRPr="001E0A7B" w:rsidRDefault="001E0A7B" w:rsidP="001E0A7B">
      <w:pPr>
        <w:pStyle w:val="ac"/>
        <w:ind w:firstLine="709"/>
        <w:jc w:val="center"/>
        <w:rPr>
          <w:rFonts w:ascii="Times New Roman" w:hAnsi="Times New Roman" w:cs="Times New Roman"/>
          <w:b/>
          <w:sz w:val="32"/>
          <w:szCs w:val="32"/>
          <w:lang w:val="uk-UA"/>
        </w:rPr>
      </w:pPr>
      <w:r w:rsidRPr="001E0A7B">
        <w:rPr>
          <w:rFonts w:ascii="Times New Roman" w:hAnsi="Times New Roman" w:cs="Times New Roman"/>
          <w:b/>
          <w:sz w:val="32"/>
          <w:szCs w:val="32"/>
          <w:lang w:val="uk-UA"/>
        </w:rPr>
        <w:t>Знаки поштової оплати, марки</w:t>
      </w:r>
      <w:r w:rsidR="002D55E3">
        <w:rPr>
          <w:rFonts w:ascii="Times New Roman" w:hAnsi="Times New Roman" w:cs="Times New Roman"/>
          <w:b/>
          <w:sz w:val="32"/>
          <w:szCs w:val="32"/>
          <w:lang w:val="uk-UA"/>
        </w:rPr>
        <w:t xml:space="preserve"> та марковані</w:t>
      </w:r>
      <w:r w:rsidR="00EF79AD">
        <w:rPr>
          <w:rFonts w:ascii="Times New Roman" w:hAnsi="Times New Roman" w:cs="Times New Roman"/>
          <w:b/>
          <w:sz w:val="32"/>
          <w:szCs w:val="32"/>
          <w:lang w:val="uk-UA"/>
        </w:rPr>
        <w:t xml:space="preserve"> конверти</w:t>
      </w:r>
    </w:p>
    <w:p w:rsidR="00E868B0" w:rsidRPr="001E0A7B" w:rsidRDefault="001E0A7B" w:rsidP="001E0A7B">
      <w:pPr>
        <w:pStyle w:val="ac"/>
        <w:ind w:firstLine="709"/>
        <w:jc w:val="center"/>
        <w:rPr>
          <w:rFonts w:ascii="Times New Roman" w:hAnsi="Times New Roman" w:cs="Times New Roman"/>
          <w:szCs w:val="24"/>
          <w:lang w:val="uk-UA"/>
        </w:rPr>
      </w:pPr>
      <w:r w:rsidRPr="001E0A7B">
        <w:rPr>
          <w:rFonts w:ascii="Times New Roman" w:hAnsi="Times New Roman" w:cs="Times New Roman"/>
          <w:sz w:val="32"/>
          <w:szCs w:val="32"/>
          <w:lang w:val="uk-UA"/>
        </w:rPr>
        <w:t>Код ДК:021:2015 - 22410000-7: Марки</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Default="00E91A9D">
      <w:pPr>
        <w:pStyle w:val="ac"/>
        <w:ind w:firstLine="709"/>
        <w:jc w:val="both"/>
        <w:rPr>
          <w:rFonts w:ascii="Times New Roman" w:hAnsi="Times New Roman" w:cs="Times New Roman"/>
          <w:szCs w:val="24"/>
          <w:lang w:val="uk-UA"/>
        </w:rPr>
      </w:pPr>
    </w:p>
    <w:p w:rsidR="00916D85" w:rsidRDefault="00916D85">
      <w:pPr>
        <w:pStyle w:val="ac"/>
        <w:ind w:firstLine="709"/>
        <w:jc w:val="both"/>
        <w:rPr>
          <w:rFonts w:ascii="Times New Roman" w:hAnsi="Times New Roman" w:cs="Times New Roman"/>
          <w:szCs w:val="24"/>
          <w:lang w:val="uk-UA"/>
        </w:rPr>
      </w:pPr>
    </w:p>
    <w:p w:rsidR="00916D85" w:rsidRDefault="00916D85">
      <w:pPr>
        <w:pStyle w:val="ac"/>
        <w:ind w:firstLine="709"/>
        <w:jc w:val="both"/>
        <w:rPr>
          <w:rFonts w:ascii="Times New Roman" w:hAnsi="Times New Roman" w:cs="Times New Roman"/>
          <w:szCs w:val="24"/>
          <w:lang w:val="uk-UA"/>
        </w:rPr>
      </w:pPr>
    </w:p>
    <w:p w:rsidR="00916D85" w:rsidRDefault="00916D85">
      <w:pPr>
        <w:pStyle w:val="ac"/>
        <w:ind w:firstLine="709"/>
        <w:jc w:val="both"/>
        <w:rPr>
          <w:rFonts w:ascii="Times New Roman" w:hAnsi="Times New Roman" w:cs="Times New Roman"/>
          <w:szCs w:val="24"/>
          <w:lang w:val="uk-UA"/>
        </w:rPr>
      </w:pPr>
    </w:p>
    <w:p w:rsidR="00916D85" w:rsidRDefault="00916D85">
      <w:pPr>
        <w:pStyle w:val="ac"/>
        <w:ind w:firstLine="709"/>
        <w:jc w:val="both"/>
        <w:rPr>
          <w:rFonts w:ascii="Times New Roman" w:hAnsi="Times New Roman" w:cs="Times New Roman"/>
          <w:szCs w:val="24"/>
          <w:lang w:val="uk-UA"/>
        </w:rPr>
      </w:pPr>
    </w:p>
    <w:p w:rsidR="00916D85" w:rsidRDefault="00916D85">
      <w:pPr>
        <w:pStyle w:val="ac"/>
        <w:ind w:firstLine="709"/>
        <w:jc w:val="both"/>
        <w:rPr>
          <w:rFonts w:ascii="Times New Roman" w:hAnsi="Times New Roman" w:cs="Times New Roman"/>
          <w:szCs w:val="24"/>
          <w:lang w:val="uk-UA"/>
        </w:rPr>
      </w:pPr>
    </w:p>
    <w:p w:rsidR="00916D85" w:rsidRDefault="00916D85">
      <w:pPr>
        <w:pStyle w:val="ac"/>
        <w:ind w:firstLine="709"/>
        <w:jc w:val="both"/>
        <w:rPr>
          <w:rFonts w:ascii="Times New Roman" w:hAnsi="Times New Roman" w:cs="Times New Roman"/>
          <w:szCs w:val="24"/>
          <w:lang w:val="uk-UA"/>
        </w:rPr>
      </w:pPr>
    </w:p>
    <w:p w:rsidR="00916D85" w:rsidRPr="00CD7243" w:rsidRDefault="00916D85">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2D55E3">
      <w:pPr>
        <w:pStyle w:val="ac"/>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Чернівці</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B4CCD">
        <w:rPr>
          <w:rFonts w:ascii="Times New Roman" w:hAnsi="Times New Roman" w:cs="Times New Roman"/>
          <w:color w:val="auto"/>
          <w:szCs w:val="24"/>
          <w:lang w:val="uk-UA"/>
        </w:rPr>
        <w:t>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jc w:val="both"/>
              <w:rPr>
                <w:b/>
                <w:lang w:val="uk-UA"/>
              </w:rPr>
            </w:pPr>
            <w:r w:rsidRPr="00CD7243">
              <w:rPr>
                <w:lang w:val="uk-UA"/>
              </w:rPr>
              <w:t>Західний офіс Держаудитслужби</w:t>
            </w:r>
            <w:r w:rsidR="002661BD">
              <w:rPr>
                <w:lang w:val="uk-UA"/>
              </w:rPr>
              <w:t xml:space="preserve"> (ЄДРПОУ 40479801)</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pStyle w:val="ad"/>
              <w:spacing w:beforeAutospacing="0" w:afterAutospacing="0"/>
              <w:ind w:firstLine="13"/>
              <w:jc w:val="both"/>
              <w:rPr>
                <w:b/>
                <w:lang w:val="uk-UA"/>
              </w:rPr>
            </w:pPr>
            <w:r w:rsidRPr="00CD7243">
              <w:rPr>
                <w:lang w:val="uk-UA" w:eastAsia="uk-UA"/>
              </w:rPr>
              <w:t>вул. Костюшка, 8, м. Львів, 79000, Україна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EF79AD" w:rsidP="003050BD">
            <w:pPr>
              <w:tabs>
                <w:tab w:val="left" w:pos="2160"/>
                <w:tab w:val="left" w:pos="3600"/>
              </w:tabs>
              <w:jc w:val="both"/>
              <w:rPr>
                <w:lang w:val="uk-UA" w:eastAsia="uk-UA"/>
              </w:rPr>
            </w:pPr>
            <w:r>
              <w:rPr>
                <w:lang w:val="uk-UA" w:eastAsia="uk-UA"/>
              </w:rPr>
              <w:t xml:space="preserve">Пяза Іван Дмитрович </w:t>
            </w:r>
            <w:r w:rsidRPr="00F40ACF">
              <w:rPr>
                <w:lang w:val="uk-UA" w:eastAsia="uk-UA"/>
              </w:rPr>
              <w:t xml:space="preserve"> –</w:t>
            </w:r>
            <w:r>
              <w:rPr>
                <w:lang w:val="uk-UA" w:eastAsia="uk-UA"/>
              </w:rPr>
              <w:t xml:space="preserve"> </w:t>
            </w:r>
            <w:r w:rsidRPr="00F40ACF">
              <w:rPr>
                <w:lang w:val="uk-UA" w:eastAsia="uk-UA"/>
              </w:rPr>
              <w:t xml:space="preserve"> </w:t>
            </w:r>
            <w:r>
              <w:rPr>
                <w:lang w:val="uk-UA" w:eastAsia="uk-UA"/>
              </w:rPr>
              <w:t>головний державний аудитор відділу організаційної роботи Управлління</w:t>
            </w:r>
            <w:r w:rsidRPr="00F40ACF">
              <w:rPr>
                <w:lang w:val="uk-UA" w:eastAsia="uk-UA"/>
              </w:rPr>
              <w:t xml:space="preserve"> </w:t>
            </w:r>
            <w:r w:rsidRPr="00F40ACF">
              <w:rPr>
                <w:lang w:val="uk-UA"/>
              </w:rPr>
              <w:t>Західного офісу Держаудитслужби</w:t>
            </w:r>
            <w:r>
              <w:rPr>
                <w:lang w:val="uk-UA"/>
              </w:rPr>
              <w:t xml:space="preserve"> в Чернівецькій області</w:t>
            </w:r>
            <w:r w:rsidRPr="00F40ACF">
              <w:rPr>
                <w:lang w:val="uk-UA" w:eastAsia="uk-UA"/>
              </w:rPr>
              <w:t xml:space="preserve">, тел. </w:t>
            </w:r>
            <w:r w:rsidRPr="00236B25">
              <w:rPr>
                <w:lang w:val="uk-UA"/>
              </w:rPr>
              <w:t>+38(0372)522469</w:t>
            </w:r>
            <w:r w:rsidRPr="00236B25">
              <w:rPr>
                <w:lang w:val="uk-UA" w:eastAsia="uk-UA"/>
              </w:rPr>
              <w:t>;</w:t>
            </w:r>
            <w:r w:rsidRPr="00236B25">
              <w:rPr>
                <w:lang w:val="uk-UA"/>
              </w:rPr>
              <w:t xml:space="preserve"> електронна адреса: </w:t>
            </w:r>
            <w:r w:rsidRPr="00A45A5B">
              <w:rPr>
                <w:lang w:val="en-US"/>
              </w:rPr>
              <w:t>i</w:t>
            </w:r>
            <w:r w:rsidRPr="00236B25">
              <w:rPr>
                <w:lang w:val="uk-UA"/>
              </w:rPr>
              <w:t>.</w:t>
            </w:r>
            <w:r w:rsidRPr="00A45A5B">
              <w:rPr>
                <w:lang w:val="en-US"/>
              </w:rPr>
              <w:t>d</w:t>
            </w:r>
            <w:r w:rsidRPr="00236B25">
              <w:rPr>
                <w:lang w:val="uk-UA"/>
              </w:rPr>
              <w:t>.</w:t>
            </w:r>
            <w:r w:rsidRPr="00A45A5B">
              <w:rPr>
                <w:lang w:val="en-US"/>
              </w:rPr>
              <w:t>piaza</w:t>
            </w:r>
            <w:r w:rsidRPr="00236B25">
              <w:rPr>
                <w:lang w:val="uk-UA"/>
              </w:rPr>
              <w:t>@</w:t>
            </w:r>
            <w:r w:rsidRPr="00A45A5B">
              <w:rPr>
                <w:lang w:val="en-US"/>
              </w:rPr>
              <w:t>dasu</w:t>
            </w:r>
            <w:r w:rsidRPr="00236B25">
              <w:rPr>
                <w:lang w:val="uk-UA"/>
              </w:rPr>
              <w:t>.</w:t>
            </w:r>
            <w:r w:rsidRPr="00A45A5B">
              <w:rPr>
                <w:lang w:val="en-US"/>
              </w:rPr>
              <w:t>gov</w:t>
            </w:r>
            <w:r w:rsidRPr="00236B25">
              <w:rPr>
                <w:lang w:val="uk-UA"/>
              </w:rPr>
              <w:t>.</w:t>
            </w:r>
            <w:r w:rsidRPr="00A45A5B">
              <w:rPr>
                <w:lang w:val="en-US"/>
              </w:rPr>
              <w:t>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F57098"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520F2" w:rsidP="000C05CC">
            <w:pPr>
              <w:rPr>
                <w:lang w:val="uk-UA"/>
              </w:rPr>
            </w:pPr>
            <w:r w:rsidRPr="001520F2">
              <w:rPr>
                <w:b/>
                <w:lang w:val="uk-UA"/>
              </w:rPr>
              <w:t>Знаки поштової оплати, марки</w:t>
            </w:r>
            <w:r w:rsidR="00EF79AD">
              <w:rPr>
                <w:b/>
                <w:lang w:val="uk-UA"/>
              </w:rPr>
              <w:t xml:space="preserve"> та марковані конверти</w:t>
            </w:r>
            <w:r w:rsidRPr="001520F2">
              <w:rPr>
                <w:lang w:val="uk-UA"/>
              </w:rPr>
              <w:t xml:space="preserve"> Код ДК:021:2015 - 22410000-7: Марки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5A6BF7"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6856AF" w:rsidRPr="006856AF">
              <w:rPr>
                <w:bCs/>
                <w:lang w:val="uk-UA" w:eastAsia="uk-UA"/>
              </w:rPr>
              <w:t xml:space="preserve">м. </w:t>
            </w:r>
            <w:r w:rsidR="00EF79AD">
              <w:rPr>
                <w:bCs/>
                <w:lang w:val="uk-UA" w:eastAsia="uk-UA"/>
              </w:rPr>
              <w:t>Чернівці</w:t>
            </w:r>
            <w:r w:rsidR="006856AF" w:rsidRPr="006856AF">
              <w:rPr>
                <w:bCs/>
                <w:lang w:val="uk-UA" w:eastAsia="uk-UA"/>
              </w:rPr>
              <w:t xml:space="preserve">, </w:t>
            </w:r>
            <w:r w:rsidR="00EF79AD">
              <w:rPr>
                <w:bCs/>
                <w:lang w:val="uk-UA" w:eastAsia="uk-UA"/>
              </w:rPr>
              <w:t>відділення зв</w:t>
            </w:r>
            <m:oMath>
              <m:r>
                <w:rPr>
                  <w:rFonts w:ascii="Cambria Math" w:hAnsi="Cambria Math"/>
                  <w:lang w:val="uk-UA" w:eastAsia="uk-UA"/>
                </w:rPr>
                <m:t>’</m:t>
              </m:r>
            </m:oMath>
            <w:r w:rsidR="00EF79AD">
              <w:rPr>
                <w:bCs/>
                <w:lang w:val="uk-UA" w:eastAsia="uk-UA"/>
              </w:rPr>
              <w:t>язку</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 оплати) з літерним номіналом V</w:t>
            </w:r>
            <w:r>
              <w:rPr>
                <w:rFonts w:eastAsia="Times New Roman"/>
                <w:lang w:val="uk-UA" w:eastAsia="en-US" w:bidi="en-US"/>
              </w:rPr>
              <w:t>-</w:t>
            </w:r>
            <w:r w:rsidRPr="00EF79AD">
              <w:rPr>
                <w:rFonts w:eastAsia="Times New Roman"/>
                <w:lang w:val="uk-UA" w:eastAsia="en-US" w:bidi="en-US"/>
              </w:rPr>
              <w:t>500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 оплати) з літерним номіналом F</w:t>
            </w:r>
            <w:r>
              <w:rPr>
                <w:rFonts w:eastAsia="Times New Roman"/>
                <w:lang w:val="uk-UA" w:eastAsia="en-US" w:bidi="en-US"/>
              </w:rPr>
              <w:t>-</w:t>
            </w:r>
            <w:r w:rsidRPr="00EF79AD">
              <w:rPr>
                <w:rFonts w:eastAsia="Times New Roman"/>
                <w:lang w:val="uk-UA" w:eastAsia="en-US" w:bidi="en-US"/>
              </w:rPr>
              <w:t>80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w:t>
            </w:r>
            <w:r>
              <w:rPr>
                <w:rFonts w:eastAsia="Times New Roman"/>
                <w:lang w:val="uk-UA" w:eastAsia="en-US" w:bidi="en-US"/>
              </w:rPr>
              <w:t xml:space="preserve"> оплати) з літерним номіналом D-</w:t>
            </w:r>
            <w:r w:rsidRPr="00EF79AD">
              <w:rPr>
                <w:rFonts w:eastAsia="Times New Roman"/>
                <w:lang w:val="uk-UA" w:eastAsia="en-US" w:bidi="en-US"/>
              </w:rPr>
              <w:t>400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w:t>
            </w:r>
            <w:r>
              <w:rPr>
                <w:rFonts w:eastAsia="Times New Roman"/>
                <w:lang w:val="uk-UA" w:eastAsia="en-US" w:bidi="en-US"/>
              </w:rPr>
              <w:t xml:space="preserve"> оплати) з літерним номіналом Н-</w:t>
            </w:r>
            <w:r w:rsidRPr="00EF79AD">
              <w:rPr>
                <w:rFonts w:eastAsia="Times New Roman"/>
                <w:lang w:val="uk-UA" w:eastAsia="en-US" w:bidi="en-US"/>
              </w:rPr>
              <w:t>40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w:t>
            </w:r>
            <w:r>
              <w:rPr>
                <w:rFonts w:eastAsia="Times New Roman"/>
                <w:lang w:val="uk-UA" w:eastAsia="en-US" w:bidi="en-US"/>
              </w:rPr>
              <w:t xml:space="preserve"> оплати) з літерним номіналом X-</w:t>
            </w:r>
            <w:r w:rsidRPr="00EF79AD">
              <w:rPr>
                <w:rFonts w:eastAsia="Times New Roman"/>
                <w:lang w:val="uk-UA" w:eastAsia="en-US" w:bidi="en-US"/>
              </w:rPr>
              <w:t>6</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w:t>
            </w:r>
            <w:r>
              <w:rPr>
                <w:rFonts w:eastAsia="Times New Roman"/>
                <w:lang w:val="uk-UA" w:eastAsia="en-US" w:bidi="en-US"/>
              </w:rPr>
              <w:t xml:space="preserve"> оплати) з літерним номіналом T-</w:t>
            </w:r>
            <w:r w:rsidRPr="00EF79AD">
              <w:rPr>
                <w:rFonts w:eastAsia="Times New Roman"/>
                <w:lang w:val="uk-UA" w:eastAsia="en-US" w:bidi="en-US"/>
              </w:rPr>
              <w:t>200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 оплати) з</w:t>
            </w:r>
            <w:r>
              <w:rPr>
                <w:rFonts w:eastAsia="Times New Roman"/>
                <w:lang w:val="uk-UA" w:eastAsia="en-US" w:bidi="en-US"/>
              </w:rPr>
              <w:t xml:space="preserve"> літерним номіналом М-</w:t>
            </w:r>
            <w:r w:rsidRPr="00EF79AD">
              <w:rPr>
                <w:rFonts w:eastAsia="Times New Roman"/>
                <w:lang w:val="uk-UA" w:eastAsia="en-US" w:bidi="en-US"/>
              </w:rPr>
              <w:t>200</w:t>
            </w:r>
            <w:r>
              <w:rPr>
                <w:rFonts w:eastAsia="Times New Roman"/>
                <w:lang w:val="uk-UA" w:eastAsia="en-US" w:bidi="en-US"/>
              </w:rPr>
              <w:t xml:space="preserve"> шт.</w:t>
            </w:r>
          </w:p>
          <w:p w:rsidR="00BD2BB7" w:rsidRPr="00BD2BB7"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lastRenderedPageBreak/>
              <w:t>Маркований</w:t>
            </w:r>
            <w:r>
              <w:rPr>
                <w:rFonts w:eastAsia="Times New Roman"/>
                <w:lang w:val="uk-UA" w:eastAsia="en-US" w:bidi="en-US"/>
              </w:rPr>
              <w:t xml:space="preserve"> художній конверт С6 з маркою V-</w:t>
            </w:r>
            <w:r w:rsidRPr="00EF79AD">
              <w:rPr>
                <w:rFonts w:eastAsia="Times New Roman"/>
                <w:lang w:val="uk-UA" w:eastAsia="en-US" w:bidi="en-US"/>
              </w:rPr>
              <w:t>860</w:t>
            </w:r>
            <w:r>
              <w:rPr>
                <w:rFonts w:eastAsia="Times New Roman"/>
                <w:lang w:val="uk-UA" w:eastAsia="en-US" w:bidi="en-US"/>
              </w:rPr>
              <w:t>шт.</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2D55E3">
            <w:pPr>
              <w:pStyle w:val="ad"/>
              <w:spacing w:beforeAutospacing="0" w:afterAutospacing="0"/>
              <w:rPr>
                <w:lang w:val="uk-UA"/>
              </w:rPr>
            </w:pPr>
            <w:r w:rsidRPr="00CD7243">
              <w:rPr>
                <w:lang w:val="uk-UA"/>
              </w:rPr>
              <w:t>Д</w:t>
            </w:r>
            <w:r w:rsidR="003E2578" w:rsidRPr="00CD7243">
              <w:rPr>
                <w:lang w:val="uk-UA"/>
              </w:rPr>
              <w:t xml:space="preserve">о </w:t>
            </w:r>
            <w:r w:rsidR="00A75BC6">
              <w:rPr>
                <w:lang w:val="uk-UA"/>
              </w:rPr>
              <w:t>3</w:t>
            </w:r>
            <w:r w:rsidR="002D55E3">
              <w:rPr>
                <w:lang w:val="uk-UA"/>
              </w:rPr>
              <w:t>0</w:t>
            </w:r>
            <w:r w:rsidR="003E2578" w:rsidRPr="0044395B">
              <w:rPr>
                <w:lang w:val="uk-UA"/>
              </w:rPr>
              <w:t>.12.20</w:t>
            </w:r>
            <w:r w:rsidR="00325A9D" w:rsidRPr="0044395B">
              <w:rPr>
                <w:lang w:val="uk-UA"/>
              </w:rPr>
              <w:t>2</w:t>
            </w:r>
            <w:r w:rsidR="000C05CC">
              <w:rPr>
                <w:lang w:val="uk-UA"/>
              </w:rPr>
              <w:t>3</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E97BDC"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r w:rsidRPr="00B05C34">
              <w:rPr>
                <w:rFonts w:eastAsia="Times New Roman"/>
                <w:lang w:val="uk-UA"/>
              </w:rPr>
              <w:lastRenderedPageBreak/>
              <w:t>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E97BD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4738D6">
              <w:rPr>
                <w:rFonts w:eastAsia="Times New Roman"/>
                <w:lang w:val="uk-UA"/>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E97BD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у </w:t>
            </w:r>
            <w:r w:rsidR="00DE3D24">
              <w:rPr>
                <w:rFonts w:eastAsia="Times New Roman"/>
                <w:lang w:val="uk-UA"/>
              </w:rPr>
              <w:t>пункті 44 Особливостей</w:t>
            </w:r>
            <w:r w:rsidRPr="00B0642E">
              <w:rPr>
                <w:rFonts w:eastAsia="Times New Roman"/>
                <w:lang w:val="uk-UA"/>
              </w:rPr>
              <w:t xml:space="preserve"> – згідно Додатку 1 до цієї тендерної документації;</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про дотримання необхідних технічних, якісних та кількісних характеристик предмета закупівлі та </w:t>
            </w:r>
            <w:r w:rsidR="00BB2465">
              <w:rPr>
                <w:rFonts w:eastAsia="Times New Roman"/>
                <w:lang w:val="uk-UA"/>
              </w:rPr>
              <w:t xml:space="preserve">його </w:t>
            </w:r>
            <w:r w:rsidRPr="00B0642E">
              <w:rPr>
                <w:rFonts w:eastAsia="Times New Roman"/>
                <w:lang w:val="uk-UA"/>
              </w:rPr>
              <w:t xml:space="preserve">відповідність технічним вимогам — згідно з Додатком 2 до тендерної </w:t>
            </w:r>
            <w:r w:rsidRPr="00B0642E">
              <w:rPr>
                <w:rFonts w:eastAsia="Times New Roman"/>
                <w:lang w:val="uk-UA"/>
              </w:rPr>
              <w:lastRenderedPageBreak/>
              <w:t>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B0642E">
              <w:rPr>
                <w:rFonts w:eastAsia="Times New Roman"/>
                <w:lang w:val="uk-UA"/>
              </w:rPr>
              <w:lastRenderedPageBreak/>
              <w:t>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B0642E">
              <w:rPr>
                <w:rFonts w:eastAsia="Times New Roman"/>
                <w:lang w:val="uk-UA"/>
              </w:rPr>
              <w:lastRenderedPageBreak/>
              <w:t>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A56D91" w:rsidP="00B0642E">
            <w:pPr>
              <w:widowControl w:val="0"/>
              <w:tabs>
                <w:tab w:val="left" w:pos="542"/>
              </w:tabs>
              <w:ind w:firstLine="402"/>
              <w:jc w:val="both"/>
              <w:rPr>
                <w:rFonts w:eastAsia="Times New Roman"/>
                <w:lang w:val="uk-UA"/>
              </w:rPr>
            </w:pPr>
            <w:r>
              <w:rPr>
                <w:rFonts w:eastAsia="Times New Roman"/>
                <w:lang w:val="uk-UA"/>
              </w:rPr>
              <w:t>- «м. чернівці</w:t>
            </w:r>
            <w:r w:rsidR="00B0642E" w:rsidRPr="00B0642E">
              <w:rPr>
                <w:rFonts w:eastAsia="Times New Roman"/>
                <w:lang w:val="uk-UA"/>
              </w:rPr>
              <w:t xml:space="preserve">» замість «м. </w:t>
            </w:r>
            <w:r>
              <w:rPr>
                <w:rFonts w:eastAsia="Times New Roman"/>
                <w:lang w:val="uk-UA"/>
              </w:rPr>
              <w:t>Чернівці</w:t>
            </w:r>
            <w:r w:rsidR="00B0642E"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Умови повернення чи неповернення забезпечення </w:t>
            </w:r>
            <w:r w:rsidRPr="00CD7243">
              <w:rPr>
                <w:rFonts w:eastAsia="Times New Roman"/>
                <w:b/>
                <w:lang w:val="uk-UA"/>
              </w:rPr>
              <w:lastRenderedPageBreak/>
              <w:t>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lastRenderedPageBreak/>
              <w:t>Не передбачено</w:t>
            </w:r>
          </w:p>
        </w:tc>
      </w:tr>
      <w:tr w:rsidR="00E868B0" w:rsidRPr="00E97BD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E97BD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з пунктом 28 та пунктом 44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44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FE5C44">
              <w:rPr>
                <w:rFonts w:eastAsia="Times New Roman"/>
                <w:lang w:val="uk-UA"/>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0054C3">
              <w:rPr>
                <w:lang w:val="uk-UA"/>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Default="004E2345" w:rsidP="00C3349B">
            <w:pPr>
              <w:widowControl w:val="0"/>
              <w:ind w:firstLine="462"/>
              <w:jc w:val="both"/>
              <w:rPr>
                <w:lang w:val="uk-UA"/>
              </w:rPr>
            </w:pPr>
            <w:r w:rsidRPr="004E2345">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4E2345">
              <w:rPr>
                <w:color w:val="333333"/>
                <w:shd w:val="clear" w:color="auto" w:fill="FFFFFF"/>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519F" w:rsidRDefault="0029519F" w:rsidP="00C3349B">
            <w:pPr>
              <w:widowControl w:val="0"/>
              <w:ind w:firstLine="462"/>
              <w:jc w:val="both"/>
              <w:rPr>
                <w:lang w:val="uk-UA"/>
              </w:rPr>
            </w:pPr>
            <w:r w:rsidRPr="000054C3">
              <w:rPr>
                <w:color w:val="333333"/>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0054C3">
              <w:rPr>
                <w:color w:val="333333"/>
                <w:shd w:val="clear" w:color="auto" w:fill="FFFFFF"/>
              </w:rPr>
              <w:t> </w:t>
            </w:r>
            <w:hyperlink r:id="rId8" w:anchor="n411" w:history="1">
              <w:r w:rsidRPr="000054C3">
                <w:rPr>
                  <w:rStyle w:val="a3"/>
                  <w:color w:val="006600"/>
                  <w:shd w:val="clear" w:color="auto" w:fill="FFFFFF"/>
                  <w:lang w:val="uk-UA"/>
                </w:rPr>
                <w:t>абзацу чотирнадцятого</w:t>
              </w:r>
            </w:hyperlink>
            <w:r w:rsidRPr="000054C3">
              <w:rPr>
                <w:color w:val="333333"/>
                <w:shd w:val="clear" w:color="auto" w:fill="FFFFFF"/>
              </w:rPr>
              <w:t> </w:t>
            </w:r>
            <w:r w:rsidRPr="000054C3">
              <w:rPr>
                <w:color w:val="333333"/>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0054C3">
              <w:rPr>
                <w:color w:val="333333"/>
                <w:shd w:val="clear" w:color="auto" w:fill="FFFFFF"/>
              </w:rPr>
              <w:t> </w:t>
            </w:r>
            <w:hyperlink r:id="rId9" w:anchor="n413" w:history="1">
              <w:r w:rsidRPr="000054C3">
                <w:rPr>
                  <w:rStyle w:val="a3"/>
                  <w:color w:val="006600"/>
                  <w:shd w:val="clear" w:color="auto" w:fill="FFFFFF"/>
                  <w:lang w:val="uk-UA"/>
                </w:rPr>
                <w:t>абзацу шістнадцятого</w:t>
              </w:r>
            </w:hyperlink>
            <w:r w:rsidRPr="000054C3">
              <w:rPr>
                <w:color w:val="333333"/>
                <w:shd w:val="clear" w:color="auto" w:fill="FFFFFF"/>
              </w:rPr>
              <w:t> </w:t>
            </w:r>
            <w:r w:rsidRPr="000054C3">
              <w:rPr>
                <w:color w:val="333333"/>
                <w:shd w:val="clear" w:color="auto" w:fill="FFFFFF"/>
                <w:lang w:val="uk-UA"/>
              </w:rPr>
              <w:t>цього пункту.</w:t>
            </w:r>
            <w:r w:rsidRPr="00C3349B">
              <w:rPr>
                <w:lang w:val="uk-UA"/>
              </w:rPr>
              <w:t xml:space="preserve"> </w:t>
            </w:r>
          </w:p>
          <w:p w:rsidR="000008A1" w:rsidRPr="000008A1" w:rsidRDefault="000054C3" w:rsidP="000054C3">
            <w:pPr>
              <w:widowControl w:val="0"/>
              <w:ind w:firstLine="462"/>
              <w:jc w:val="both"/>
              <w:rPr>
                <w:lang w:val="uk-UA"/>
              </w:rPr>
            </w:pPr>
            <w:r w:rsidRPr="000054C3">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0054C3">
              <w:rPr>
                <w:lang w:val="uk-UA"/>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4119B7" w:rsidTr="006C70C2">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4119B7" w:rsidP="006C70C2">
            <w:pPr>
              <w:widowControl w:val="0"/>
              <w:ind w:firstLine="421"/>
              <w:rPr>
                <w:lang w:val="uk-UA"/>
              </w:rPr>
            </w:pPr>
            <w:r w:rsidRPr="004119B7">
              <w:rPr>
                <w:rFonts w:eastAsia="Times New Roman"/>
                <w:lang w:val="uk-UA"/>
              </w:rPr>
              <w:t>Не передбачено</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4B1F" w:rsidRPr="00B64B1F" w:rsidRDefault="00B64B1F" w:rsidP="00B64B1F">
            <w:pPr>
              <w:widowControl w:val="0"/>
              <w:ind w:firstLine="462"/>
              <w:jc w:val="both"/>
              <w:rPr>
                <w:lang w:val="uk-UA"/>
              </w:rPr>
            </w:pPr>
            <w:r w:rsidRPr="00B64B1F">
              <w:rPr>
                <w:lang w:val="uk-UA"/>
              </w:rPr>
              <w:t>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Pr="00CD7243" w:rsidRDefault="00B64B1F" w:rsidP="00B64B1F">
            <w:pPr>
              <w:widowControl w:val="0"/>
              <w:ind w:firstLine="462"/>
              <w:jc w:val="both"/>
              <w:rPr>
                <w:lang w:val="uk-UA"/>
              </w:rPr>
            </w:pPr>
            <w:r w:rsidRPr="00B64B1F">
              <w:rPr>
                <w:lang w:val="uk-UA"/>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E868B0" w:rsidRPr="00E97BD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62112A">
              <w:rPr>
                <w:rFonts w:eastAsia="Times New Roman"/>
              </w:rPr>
              <w:t>0</w:t>
            </w:r>
            <w:r w:rsidR="00E97BDC">
              <w:rPr>
                <w:rFonts w:eastAsia="Times New Roman"/>
                <w:lang w:val="uk-UA"/>
              </w:rPr>
              <w:t>2</w:t>
            </w:r>
            <w:r w:rsidR="00DB6E26" w:rsidRPr="00BD41AA">
              <w:rPr>
                <w:rFonts w:eastAsia="Times New Roman"/>
                <w:lang w:val="uk-UA"/>
              </w:rPr>
              <w:t>.</w:t>
            </w:r>
            <w:r w:rsidR="00DB6E26" w:rsidRPr="00BD41AA">
              <w:rPr>
                <w:rFonts w:eastAsia="Times New Roman"/>
              </w:rPr>
              <w:t>0</w:t>
            </w:r>
            <w:r w:rsidR="0062112A">
              <w:rPr>
                <w:rFonts w:eastAsia="Times New Roman"/>
                <w:lang w:val="uk-UA"/>
              </w:rPr>
              <w:t>6</w:t>
            </w:r>
            <w:r w:rsidR="00DB6E26" w:rsidRPr="00BD41AA">
              <w:rPr>
                <w:rFonts w:eastAsia="Times New Roman"/>
                <w:lang w:val="uk-UA"/>
              </w:rPr>
              <w:t>.</w:t>
            </w:r>
            <w:r w:rsidR="00DB6E26" w:rsidRPr="00BD41AA">
              <w:rPr>
                <w:rFonts w:eastAsia="Times New Roman"/>
              </w:rPr>
              <w:t>2023</w:t>
            </w:r>
            <w:r w:rsidR="00EF363C" w:rsidRPr="00BD41AA">
              <w:rPr>
                <w:rFonts w:eastAsia="Times New Roman"/>
                <w:lang w:val="uk-UA"/>
              </w:rPr>
              <w:t xml:space="preserve"> 00 год 00 хв</w:t>
            </w:r>
            <w:r w:rsidR="00B679AB" w:rsidRPr="00BD41AA">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E41107" w:rsidRDefault="00896011" w:rsidP="00B64B96">
            <w:pPr>
              <w:widowControl w:val="0"/>
              <w:ind w:firstLine="462"/>
              <w:jc w:val="both"/>
              <w:rPr>
                <w:color w:val="auto"/>
                <w:shd w:val="clear" w:color="auto" w:fill="FFFFFF"/>
              </w:rPr>
            </w:pPr>
            <w:r w:rsidRPr="00E41107">
              <w:rPr>
                <w:rFonts w:eastAsia="Times New Roman"/>
                <w:lang w:val="uk-UA"/>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w:t>
            </w:r>
            <w:r w:rsidRPr="00E41107">
              <w:rPr>
                <w:rFonts w:eastAsia="Times New Roman"/>
                <w:lang w:val="uk-UA"/>
              </w:rPr>
              <w:lastRenderedPageBreak/>
              <w:t>електронній системі закупівель</w:t>
            </w:r>
            <w:r w:rsidR="00B91F25" w:rsidRPr="00E41107">
              <w:rPr>
                <w:rFonts w:eastAsia="Times New Roman"/>
                <w:lang w:val="uk-UA"/>
              </w:rPr>
              <w:t xml:space="preserve"> </w:t>
            </w:r>
            <w:r w:rsidR="00B91F25" w:rsidRPr="00E41107">
              <w:rPr>
                <w:rFonts w:eastAsia="Times New Roman"/>
                <w:color w:val="auto"/>
                <w:lang w:val="uk-UA"/>
              </w:rPr>
              <w:t xml:space="preserve">Відповідно до пункту 35 Особливостей №1178 </w:t>
            </w:r>
            <w:r w:rsidR="00B91F25" w:rsidRPr="00E41107">
              <w:rPr>
                <w:color w:val="auto"/>
                <w:shd w:val="clear" w:color="auto" w:fill="FFFFFF"/>
                <w:lang w:val="uk-UA"/>
              </w:rPr>
              <w:t>в</w:t>
            </w:r>
            <w:r w:rsidR="00B91F25" w:rsidRPr="00E41107">
              <w:rPr>
                <w:color w:val="auto"/>
                <w:shd w:val="clear" w:color="auto" w:fill="FFFFFF"/>
              </w:rPr>
              <w:t>ідкриті торги проводяться без застосування електронного аукціону.</w:t>
            </w:r>
          </w:p>
          <w:p w:rsidR="00321399" w:rsidRPr="00E41107" w:rsidRDefault="00321399" w:rsidP="00321399">
            <w:pPr>
              <w:widowControl w:val="0"/>
              <w:ind w:right="120" w:firstLine="425"/>
              <w:jc w:val="both"/>
              <w:rPr>
                <w:rFonts w:eastAsia="Times New Roman"/>
                <w:lang w:val="uk-UA"/>
              </w:rPr>
            </w:pPr>
            <w:r w:rsidRPr="00A94F2E">
              <w:rPr>
                <w:rFonts w:eastAsia="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E41107">
              <w:rPr>
                <w:rFonts w:eastAsia="Times New Roman"/>
                <w:lang w:val="uk-UA"/>
              </w:rPr>
              <w:t xml:space="preserve"> </w:t>
            </w:r>
            <w:r w:rsidR="00E41107" w:rsidRPr="00E41107">
              <w:rPr>
                <w:rFonts w:eastAsia="Times New Roman"/>
                <w:lang w:val="uk-UA"/>
              </w:rPr>
              <w:t>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21399" w:rsidRPr="00CD7243" w:rsidRDefault="00321399" w:rsidP="00321399">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6D4F6C" w:rsidRDefault="006D4F6C" w:rsidP="00F57B53">
            <w:pPr>
              <w:widowControl w:val="0"/>
              <w:ind w:firstLine="259"/>
              <w:jc w:val="both"/>
              <w:rPr>
                <w:rFonts w:eastAsia="Times New Roman"/>
                <w:lang w:val="uk-UA"/>
              </w:rPr>
            </w:pPr>
            <w:r>
              <w:rPr>
                <w:rFonts w:eastAsia="Times New Roman"/>
                <w:lang w:val="uk-UA"/>
              </w:rPr>
              <w:t>Єдиний критерій оцінки тендерної пропозиції є ціна (100%).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00257E5B" w:rsidRPr="00257E5B">
              <w:rPr>
                <w:rFonts w:eastAsia="Times New Roman"/>
                <w:lang w:val="uk-UA"/>
              </w:rPr>
              <w:t>Згідно з п. п. 196.1.4 п.196.1 ст.196 Податкового кодексу України, постачання негашених поштових марок України, конвертів або листівок з негашеними поштовими марками України не є об’єктом оподаткування ПДВ</w:t>
            </w:r>
            <w:r w:rsidRPr="00F57B53">
              <w:rPr>
                <w:rFonts w:eastAsia="Times New Roman"/>
                <w:lang w:val="uk-UA"/>
              </w:rPr>
              <w:t>.</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57B53" w:rsidRDefault="00F57B53" w:rsidP="00F57B53">
            <w:pPr>
              <w:widowControl w:val="0"/>
              <w:ind w:firstLine="259"/>
              <w:jc w:val="both"/>
              <w:rPr>
                <w:rFonts w:eastAsia="Times New Roman"/>
                <w:lang w:val="uk-UA"/>
              </w:rPr>
            </w:pPr>
            <w:r w:rsidRPr="00F57B53">
              <w:rPr>
                <w:rFonts w:eastAsia="Times New Roman"/>
                <w:lang w:val="uk-UA"/>
              </w:rPr>
              <w:t xml:space="preserve">Найбільш економічно вигідною тендерною пропозицією електронна система закупівель визначає </w:t>
            </w:r>
            <w:r w:rsidRPr="00F57B53">
              <w:rPr>
                <w:rFonts w:eastAsia="Times New Roman"/>
                <w:lang w:val="uk-UA"/>
              </w:rPr>
              <w:lastRenderedPageBreak/>
              <w:t>тендерну пропозицію, ціна/приведена ціна якої є найнижчою.</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F57B53" w:rsidRDefault="00F57B53" w:rsidP="00F57B53">
            <w:pPr>
              <w:widowControl w:val="0"/>
              <w:ind w:firstLine="259"/>
              <w:jc w:val="both"/>
              <w:rPr>
                <w:rFonts w:eastAsia="Times New Roman"/>
                <w:lang w:val="uk-UA"/>
              </w:rPr>
            </w:pPr>
            <w:r w:rsidRPr="00F57B53">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57B53" w:rsidRDefault="00EE20C6" w:rsidP="00EE20C6">
            <w:pPr>
              <w:widowControl w:val="0"/>
              <w:ind w:firstLine="259"/>
              <w:jc w:val="both"/>
              <w:rPr>
                <w:rFonts w:eastAsia="Times New Roman"/>
                <w:lang w:val="uk-UA"/>
              </w:rPr>
            </w:pPr>
            <w:r w:rsidRPr="00EE20C6">
              <w:rPr>
                <w:rFonts w:eastAsia="Times New Roman"/>
                <w:lang w:val="uk-UA"/>
              </w:rPr>
              <w:t xml:space="preserve">Обґрунтування аномально низької тендерної </w:t>
            </w:r>
            <w:r w:rsidRPr="00EE20C6">
              <w:rPr>
                <w:rFonts w:eastAsia="Times New Roman"/>
                <w:lang w:val="uk-UA"/>
              </w:rPr>
              <w:lastRenderedPageBreak/>
              <w:t>пропозиції може містити інформацію про:</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отримання учасником процедури закупівлі державної допомоги згідно із законодавством.</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Невідповідністю в інформації та/або документах, які </w:t>
            </w:r>
            <w:r w:rsidRPr="00EE20C6">
              <w:rPr>
                <w:rFonts w:eastAsia="Times New Roman"/>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Pr="00CD7243" w:rsidRDefault="00EE20C6" w:rsidP="006D4F6C">
            <w:pPr>
              <w:widowControl w:val="0"/>
              <w:ind w:firstLine="259"/>
              <w:jc w:val="both"/>
              <w:rPr>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 xml:space="preserve">Таким чином, відповідальність за неправомірну передачу замовнику персональних даних, а також їх </w:t>
            </w:r>
            <w:r w:rsidRPr="00723498">
              <w:rPr>
                <w:rFonts w:eastAsia="Times New Roman"/>
                <w:lang w:val="uk-UA"/>
              </w:rPr>
              <w:lastRenderedPageBreak/>
              <w:t>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E868B0" w:rsidRDefault="00723498" w:rsidP="00723498">
            <w:pPr>
              <w:ind w:firstLine="484"/>
              <w:jc w:val="both"/>
              <w:rPr>
                <w:rFonts w:eastAsia="Times New Roman"/>
                <w:lang w:val="uk-UA"/>
              </w:rPr>
            </w:pPr>
            <w:r w:rsidRPr="00723498">
              <w:rPr>
                <w:rFonts w:eastAsia="Times New Roman"/>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1663E7" w:rsidRPr="00CD7243" w:rsidRDefault="001663E7" w:rsidP="00723498">
            <w:pPr>
              <w:ind w:firstLine="484"/>
              <w:jc w:val="both"/>
              <w:rPr>
                <w:lang w:val="uk-UA"/>
              </w:rPr>
            </w:pPr>
            <w:r w:rsidRPr="001663E7">
              <w:rPr>
                <w:lang w:val="uk-UA"/>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E868B0" w:rsidRPr="00E97BD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B81202" w:rsidRDefault="00B81202" w:rsidP="00EE20C6">
            <w:pPr>
              <w:ind w:firstLine="259"/>
              <w:jc w:val="both"/>
              <w:textAlignment w:val="baseline"/>
              <w:rPr>
                <w:lang w:val="uk-UA"/>
              </w:rPr>
            </w:pPr>
            <w:r w:rsidRPr="00B81202">
              <w:rPr>
                <w:lang w:val="uk-UA"/>
              </w:rPr>
              <w:lastRenderedPageBreak/>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B81202" w:rsidRDefault="00B81202" w:rsidP="00B81202">
            <w:pPr>
              <w:pStyle w:val="af2"/>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2"/>
              <w:ind w:left="0"/>
              <w:jc w:val="both"/>
              <w:textAlignment w:val="baseline"/>
              <w:rPr>
                <w:lang w:val="uk-UA"/>
              </w:rPr>
            </w:pPr>
            <w:r w:rsidRPr="00B81202">
              <w:rPr>
                <w:lang w:val="uk-UA"/>
              </w:rPr>
              <w:t>2) тендерна пропозиція:</w:t>
            </w:r>
          </w:p>
          <w:p w:rsidR="00B81202" w:rsidRPr="00B81202" w:rsidRDefault="00B81202" w:rsidP="00B81202">
            <w:pPr>
              <w:pStyle w:val="af2"/>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81202" w:rsidRPr="00B81202" w:rsidRDefault="00B81202" w:rsidP="00B81202">
            <w:pPr>
              <w:pStyle w:val="af2"/>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2"/>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2"/>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2"/>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2"/>
              <w:ind w:left="-58"/>
              <w:jc w:val="both"/>
              <w:textAlignment w:val="baseline"/>
              <w:rPr>
                <w:lang w:val="uk-UA"/>
              </w:rPr>
            </w:pPr>
            <w:r w:rsidRPr="00B81202">
              <w:rPr>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2"/>
              <w:ind w:left="-58"/>
              <w:jc w:val="both"/>
              <w:textAlignment w:val="baseline"/>
              <w:rPr>
                <w:lang w:val="uk-UA"/>
              </w:rPr>
            </w:pPr>
            <w:r w:rsidRPr="00B81202">
              <w:rPr>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81202" w:rsidRPr="00B81202" w:rsidRDefault="00B81202" w:rsidP="00B81202">
            <w:pPr>
              <w:pStyle w:val="af2"/>
              <w:ind w:left="-58"/>
              <w:jc w:val="both"/>
              <w:textAlignment w:val="baseline"/>
              <w:rPr>
                <w:lang w:val="uk-UA"/>
              </w:rPr>
            </w:pPr>
            <w:r w:rsidRPr="00B81202">
              <w:rPr>
                <w:lang w:val="uk-UA"/>
              </w:rPr>
              <w:t>— не надав копію ліцензії або документа дозвільного характеру (у разі їх наявності) відповідно до частини другої статті 41 Закону;</w:t>
            </w:r>
          </w:p>
          <w:p w:rsidR="00B81202" w:rsidRPr="00B81202" w:rsidRDefault="00B81202" w:rsidP="00B81202">
            <w:pPr>
              <w:pStyle w:val="af2"/>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2"/>
              <w:ind w:left="0"/>
              <w:jc w:val="both"/>
              <w:textAlignment w:val="baseline"/>
              <w:rPr>
                <w:lang w:val="uk-UA"/>
              </w:rPr>
            </w:pPr>
            <w:r w:rsidRPr="00B81202">
              <w:rPr>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61DF" w:rsidRPr="00B661DF" w:rsidRDefault="00B661DF" w:rsidP="00B661DF">
            <w:pPr>
              <w:pStyle w:val="af2"/>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2"/>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2"/>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2"/>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2"/>
              <w:ind w:left="0"/>
              <w:jc w:val="both"/>
              <w:textAlignment w:val="baseline"/>
              <w:rPr>
                <w:lang w:val="uk-UA"/>
              </w:rPr>
            </w:pPr>
            <w:r w:rsidRPr="00B661DF">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B661DF">
              <w:rPr>
                <w:lang w:val="uk-UA"/>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Відповідно до пункту 47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Відповідно до пункту 48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931B87">
              <w:rPr>
                <w:rFonts w:eastAsia="Times New Roman"/>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C10FD" w:rsidRPr="008C10FD" w:rsidRDefault="008C10FD" w:rsidP="008C10FD">
            <w:pPr>
              <w:widowControl w:val="0"/>
              <w:ind w:firstLine="462"/>
              <w:jc w:val="both"/>
              <w:rPr>
                <w:lang w:val="uk-UA"/>
              </w:rPr>
            </w:pPr>
            <w:r w:rsidRPr="008C10FD">
              <w:rPr>
                <w:lang w:val="uk-UA"/>
              </w:rPr>
              <w:t>Переможець процедури закупівлі під час укладення договору про закупівлю повинен надати:</w:t>
            </w:r>
          </w:p>
          <w:p w:rsidR="008C10FD" w:rsidRPr="008C10FD" w:rsidRDefault="008C10FD" w:rsidP="008C10FD">
            <w:pPr>
              <w:widowControl w:val="0"/>
              <w:ind w:firstLine="462"/>
              <w:jc w:val="both"/>
              <w:rPr>
                <w:lang w:val="uk-UA"/>
              </w:rPr>
            </w:pPr>
            <w:r w:rsidRPr="008C10FD">
              <w:rPr>
                <w:lang w:val="uk-UA"/>
              </w:rPr>
              <w:t>1)</w:t>
            </w:r>
            <w:r w:rsidRPr="008C10FD">
              <w:rPr>
                <w:lang w:val="uk-UA"/>
              </w:rPr>
              <w:tab/>
              <w:t>інформацію про право підписання договору про закупівлю;</w:t>
            </w:r>
          </w:p>
          <w:p w:rsidR="00251F58" w:rsidRPr="00CD7243" w:rsidRDefault="008C10FD" w:rsidP="00931B87">
            <w:pPr>
              <w:widowControl w:val="0"/>
              <w:ind w:firstLine="462"/>
              <w:jc w:val="both"/>
              <w:rPr>
                <w:lang w:val="uk-UA"/>
              </w:rPr>
            </w:pPr>
            <w:r w:rsidRPr="008C10FD">
              <w:rPr>
                <w:lang w:val="uk-UA"/>
              </w:rPr>
              <w:t>2)</w:t>
            </w:r>
            <w:r w:rsidRPr="008C10FD">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E868B0" w:rsidRPr="00E97BD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третьої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lastRenderedPageBreak/>
              <w:t xml:space="preserve">визначення грошового еквівалента зобов’язання в іноземній валюті; </w:t>
            </w:r>
          </w:p>
          <w:p w:rsidR="001E4F33" w:rsidRPr="00FC5B7B"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32EB" w:rsidRPr="003332EB" w:rsidRDefault="003332EB" w:rsidP="003332EB">
            <w:pPr>
              <w:ind w:firstLine="403"/>
              <w:jc w:val="both"/>
              <w:rPr>
                <w:rFonts w:eastAsia="Times New Roman"/>
                <w:lang w:val="uk-UA"/>
              </w:rPr>
            </w:pPr>
            <w:r w:rsidRPr="00F23C10">
              <w:rPr>
                <w:rFonts w:eastAsia="Times New Roman"/>
                <w:lang w:val="uk-UA"/>
              </w:rPr>
              <w:t>фактичного обсягу видатків замовника;</w:t>
            </w:r>
          </w:p>
          <w:p w:rsidR="003332EB" w:rsidRPr="003332EB" w:rsidRDefault="001663E7" w:rsidP="003332EB">
            <w:pPr>
              <w:ind w:firstLine="403"/>
              <w:jc w:val="both"/>
              <w:rPr>
                <w:rFonts w:eastAsia="Times New Roman"/>
                <w:lang w:val="uk-UA"/>
              </w:rPr>
            </w:pPr>
            <w:r>
              <w:rPr>
                <w:rFonts w:eastAsia="Times New Roman"/>
                <w:lang w:val="uk-UA"/>
              </w:rPr>
              <w:t>1</w:t>
            </w:r>
            <w:r w:rsidR="003332EB" w:rsidRPr="003332EB">
              <w:rPr>
                <w:rFonts w:eastAsia="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1663E7" w:rsidP="003332EB">
            <w:pPr>
              <w:ind w:firstLine="403"/>
              <w:jc w:val="both"/>
              <w:rPr>
                <w:rFonts w:eastAsia="Times New Roman"/>
                <w:lang w:val="uk-UA"/>
              </w:rPr>
            </w:pPr>
            <w:r>
              <w:rPr>
                <w:rFonts w:eastAsia="Times New Roman"/>
                <w:lang w:val="uk-UA"/>
              </w:rPr>
              <w:t>2</w:t>
            </w:r>
            <w:r w:rsidR="003332EB" w:rsidRPr="003332EB">
              <w:rPr>
                <w:rFonts w:eastAsia="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3332EB" w:rsidRDefault="001663E7" w:rsidP="003332EB">
            <w:pPr>
              <w:ind w:firstLine="403"/>
              <w:jc w:val="both"/>
              <w:rPr>
                <w:rFonts w:eastAsia="Times New Roman"/>
                <w:lang w:val="uk-UA"/>
              </w:rPr>
            </w:pPr>
            <w:r>
              <w:rPr>
                <w:rFonts w:eastAsia="Times New Roman"/>
                <w:lang w:val="uk-UA"/>
              </w:rPr>
              <w:t>3</w:t>
            </w:r>
            <w:r w:rsidR="003332EB" w:rsidRPr="003332EB">
              <w:rPr>
                <w:rFonts w:eastAsia="Times New Roman"/>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Pr="00CD7243" w:rsidRDefault="001663E7" w:rsidP="003332EB">
            <w:pPr>
              <w:ind w:firstLine="403"/>
              <w:jc w:val="both"/>
              <w:rPr>
                <w:rFonts w:eastAsia="Times New Roman"/>
                <w:lang w:val="uk-UA"/>
              </w:rPr>
            </w:pPr>
            <w:r>
              <w:rPr>
                <w:rFonts w:eastAsia="Times New Roman"/>
                <w:lang w:val="uk-UA"/>
              </w:rPr>
              <w:t>4</w:t>
            </w:r>
            <w:r w:rsidR="003332EB" w:rsidRPr="003332EB">
              <w:rPr>
                <w:rFonts w:eastAsia="Times New Roman"/>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lastRenderedPageBreak/>
        <w:t>Додаток 2. Технічн</w:t>
      </w:r>
      <w:r w:rsidR="002146CA">
        <w:rPr>
          <w:lang w:val="uk-UA"/>
        </w:rPr>
        <w:t>і</w:t>
      </w:r>
      <w:r w:rsidRPr="00F23C10">
        <w:rPr>
          <w:lang w:val="uk-UA"/>
        </w:rPr>
        <w:t xml:space="preserve"> </w:t>
      </w:r>
      <w:r w:rsidR="002146CA">
        <w:rPr>
          <w:lang w:val="uk-UA"/>
        </w:rPr>
        <w:t>вимоги до предмета закупівлі</w:t>
      </w:r>
      <w:r w:rsidRPr="00F23C10">
        <w:rPr>
          <w:lang w:val="uk-UA"/>
        </w:rPr>
        <w:t>.</w:t>
      </w:r>
    </w:p>
    <w:p w:rsidR="00F23C10" w:rsidRPr="00CD7243"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44" w:rsidRDefault="00822144">
      <w:r>
        <w:separator/>
      </w:r>
    </w:p>
  </w:endnote>
  <w:endnote w:type="continuationSeparator" w:id="0">
    <w:p w:rsidR="00822144" w:rsidRDefault="0082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44" w:rsidRDefault="00822144">
      <w:r>
        <w:separator/>
      </w:r>
    </w:p>
  </w:footnote>
  <w:footnote w:type="continuationSeparator" w:id="0">
    <w:p w:rsidR="00822144" w:rsidRDefault="0082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655C8"/>
    <w:rsid w:val="000722D9"/>
    <w:rsid w:val="00077614"/>
    <w:rsid w:val="000956A4"/>
    <w:rsid w:val="000A0ED1"/>
    <w:rsid w:val="000A1B7F"/>
    <w:rsid w:val="000A1EAC"/>
    <w:rsid w:val="000B0880"/>
    <w:rsid w:val="000C05CC"/>
    <w:rsid w:val="000D6CB2"/>
    <w:rsid w:val="000E7BF3"/>
    <w:rsid w:val="000F334E"/>
    <w:rsid w:val="000F431D"/>
    <w:rsid w:val="00103C79"/>
    <w:rsid w:val="00104252"/>
    <w:rsid w:val="00106837"/>
    <w:rsid w:val="00124293"/>
    <w:rsid w:val="00125683"/>
    <w:rsid w:val="00125CA7"/>
    <w:rsid w:val="001307EC"/>
    <w:rsid w:val="00131671"/>
    <w:rsid w:val="00135573"/>
    <w:rsid w:val="00140EB6"/>
    <w:rsid w:val="00143AFE"/>
    <w:rsid w:val="00144EC0"/>
    <w:rsid w:val="00145A6A"/>
    <w:rsid w:val="001520F2"/>
    <w:rsid w:val="00152191"/>
    <w:rsid w:val="001642BE"/>
    <w:rsid w:val="001663E7"/>
    <w:rsid w:val="00175D13"/>
    <w:rsid w:val="00185A6F"/>
    <w:rsid w:val="001915D7"/>
    <w:rsid w:val="00192734"/>
    <w:rsid w:val="00192BFE"/>
    <w:rsid w:val="001A3E6A"/>
    <w:rsid w:val="001A7F69"/>
    <w:rsid w:val="001B1069"/>
    <w:rsid w:val="001C2E38"/>
    <w:rsid w:val="001D3C0D"/>
    <w:rsid w:val="001D5FD1"/>
    <w:rsid w:val="001E0A7B"/>
    <w:rsid w:val="001E3299"/>
    <w:rsid w:val="001E4F33"/>
    <w:rsid w:val="001E52BF"/>
    <w:rsid w:val="001F1108"/>
    <w:rsid w:val="00203484"/>
    <w:rsid w:val="00210FB3"/>
    <w:rsid w:val="002146CA"/>
    <w:rsid w:val="00216BF8"/>
    <w:rsid w:val="002170E0"/>
    <w:rsid w:val="002228D5"/>
    <w:rsid w:val="00227A5E"/>
    <w:rsid w:val="00231343"/>
    <w:rsid w:val="00232B7C"/>
    <w:rsid w:val="00236F89"/>
    <w:rsid w:val="00240CEB"/>
    <w:rsid w:val="00251F58"/>
    <w:rsid w:val="00252774"/>
    <w:rsid w:val="00252EBF"/>
    <w:rsid w:val="00255045"/>
    <w:rsid w:val="00255401"/>
    <w:rsid w:val="0025574F"/>
    <w:rsid w:val="00257E5B"/>
    <w:rsid w:val="00262065"/>
    <w:rsid w:val="00264CBC"/>
    <w:rsid w:val="002661BD"/>
    <w:rsid w:val="002664E6"/>
    <w:rsid w:val="002735DE"/>
    <w:rsid w:val="00276249"/>
    <w:rsid w:val="0029519F"/>
    <w:rsid w:val="00296905"/>
    <w:rsid w:val="002C24F8"/>
    <w:rsid w:val="002D55E3"/>
    <w:rsid w:val="002E2459"/>
    <w:rsid w:val="002F09DD"/>
    <w:rsid w:val="002F31DE"/>
    <w:rsid w:val="00302E85"/>
    <w:rsid w:val="003050BD"/>
    <w:rsid w:val="00311D7C"/>
    <w:rsid w:val="00313A26"/>
    <w:rsid w:val="00321399"/>
    <w:rsid w:val="0032194E"/>
    <w:rsid w:val="0032535E"/>
    <w:rsid w:val="00325A9D"/>
    <w:rsid w:val="00326462"/>
    <w:rsid w:val="00332069"/>
    <w:rsid w:val="003332EB"/>
    <w:rsid w:val="00334DD3"/>
    <w:rsid w:val="0035296A"/>
    <w:rsid w:val="00355E65"/>
    <w:rsid w:val="00357C91"/>
    <w:rsid w:val="0036064A"/>
    <w:rsid w:val="00363563"/>
    <w:rsid w:val="00364410"/>
    <w:rsid w:val="0037171F"/>
    <w:rsid w:val="00371BEC"/>
    <w:rsid w:val="00372DF4"/>
    <w:rsid w:val="003819DC"/>
    <w:rsid w:val="003A15C6"/>
    <w:rsid w:val="003A5230"/>
    <w:rsid w:val="003B1D46"/>
    <w:rsid w:val="003B3F82"/>
    <w:rsid w:val="003C27DD"/>
    <w:rsid w:val="003C57F3"/>
    <w:rsid w:val="003C73FF"/>
    <w:rsid w:val="003E2314"/>
    <w:rsid w:val="003E2578"/>
    <w:rsid w:val="003F0005"/>
    <w:rsid w:val="003F5886"/>
    <w:rsid w:val="00402795"/>
    <w:rsid w:val="004119B7"/>
    <w:rsid w:val="00413BC3"/>
    <w:rsid w:val="00424B8E"/>
    <w:rsid w:val="00435CDC"/>
    <w:rsid w:val="0044371B"/>
    <w:rsid w:val="0044395B"/>
    <w:rsid w:val="004513EC"/>
    <w:rsid w:val="00454A4D"/>
    <w:rsid w:val="0047061F"/>
    <w:rsid w:val="004738D6"/>
    <w:rsid w:val="00477411"/>
    <w:rsid w:val="00481C20"/>
    <w:rsid w:val="0048794B"/>
    <w:rsid w:val="004A0DE7"/>
    <w:rsid w:val="004A2EEA"/>
    <w:rsid w:val="004A6E6C"/>
    <w:rsid w:val="004A7B61"/>
    <w:rsid w:val="004B4DDE"/>
    <w:rsid w:val="004B5CFE"/>
    <w:rsid w:val="004B7D47"/>
    <w:rsid w:val="004E2345"/>
    <w:rsid w:val="004E4D9D"/>
    <w:rsid w:val="004E73F2"/>
    <w:rsid w:val="00507222"/>
    <w:rsid w:val="00526DD5"/>
    <w:rsid w:val="005312E5"/>
    <w:rsid w:val="00535B44"/>
    <w:rsid w:val="005403CF"/>
    <w:rsid w:val="00542D20"/>
    <w:rsid w:val="00551C17"/>
    <w:rsid w:val="00554D6B"/>
    <w:rsid w:val="00562124"/>
    <w:rsid w:val="00564024"/>
    <w:rsid w:val="005806BF"/>
    <w:rsid w:val="00584163"/>
    <w:rsid w:val="00586A80"/>
    <w:rsid w:val="00594840"/>
    <w:rsid w:val="005A6BF7"/>
    <w:rsid w:val="005B28A8"/>
    <w:rsid w:val="005B7515"/>
    <w:rsid w:val="005D00A4"/>
    <w:rsid w:val="005D2593"/>
    <w:rsid w:val="005D5B0B"/>
    <w:rsid w:val="005E0F43"/>
    <w:rsid w:val="005F46C1"/>
    <w:rsid w:val="005F473D"/>
    <w:rsid w:val="00602F38"/>
    <w:rsid w:val="0062112A"/>
    <w:rsid w:val="00621BB8"/>
    <w:rsid w:val="00621F13"/>
    <w:rsid w:val="00622F5D"/>
    <w:rsid w:val="00623744"/>
    <w:rsid w:val="00623A55"/>
    <w:rsid w:val="00624931"/>
    <w:rsid w:val="00625CB1"/>
    <w:rsid w:val="00633C86"/>
    <w:rsid w:val="00646EBE"/>
    <w:rsid w:val="00651006"/>
    <w:rsid w:val="006516E8"/>
    <w:rsid w:val="00654AEB"/>
    <w:rsid w:val="00657815"/>
    <w:rsid w:val="0066083F"/>
    <w:rsid w:val="006620F8"/>
    <w:rsid w:val="0067452E"/>
    <w:rsid w:val="00676463"/>
    <w:rsid w:val="006856AF"/>
    <w:rsid w:val="00686224"/>
    <w:rsid w:val="00694C7D"/>
    <w:rsid w:val="006966C9"/>
    <w:rsid w:val="006B40E6"/>
    <w:rsid w:val="006B6ADA"/>
    <w:rsid w:val="006B6BA5"/>
    <w:rsid w:val="006C70C2"/>
    <w:rsid w:val="006D4F6C"/>
    <w:rsid w:val="006E1EF8"/>
    <w:rsid w:val="006E3CBF"/>
    <w:rsid w:val="006E7422"/>
    <w:rsid w:val="006F784E"/>
    <w:rsid w:val="00703085"/>
    <w:rsid w:val="00723498"/>
    <w:rsid w:val="00726533"/>
    <w:rsid w:val="00730A6B"/>
    <w:rsid w:val="007405E0"/>
    <w:rsid w:val="00744EC3"/>
    <w:rsid w:val="007465BE"/>
    <w:rsid w:val="007514BA"/>
    <w:rsid w:val="00751A00"/>
    <w:rsid w:val="00755259"/>
    <w:rsid w:val="007621D2"/>
    <w:rsid w:val="007634DB"/>
    <w:rsid w:val="00767693"/>
    <w:rsid w:val="007830EE"/>
    <w:rsid w:val="00785621"/>
    <w:rsid w:val="0078670D"/>
    <w:rsid w:val="0079402A"/>
    <w:rsid w:val="00795542"/>
    <w:rsid w:val="00797AC8"/>
    <w:rsid w:val="007B702F"/>
    <w:rsid w:val="007C07DC"/>
    <w:rsid w:val="007C394D"/>
    <w:rsid w:val="007C7076"/>
    <w:rsid w:val="007D01EC"/>
    <w:rsid w:val="007E6B34"/>
    <w:rsid w:val="008136F6"/>
    <w:rsid w:val="008152CD"/>
    <w:rsid w:val="008168EF"/>
    <w:rsid w:val="00822144"/>
    <w:rsid w:val="0082458F"/>
    <w:rsid w:val="00825C8F"/>
    <w:rsid w:val="0083241F"/>
    <w:rsid w:val="00832F6A"/>
    <w:rsid w:val="00862F66"/>
    <w:rsid w:val="00871C3A"/>
    <w:rsid w:val="00872024"/>
    <w:rsid w:val="00876272"/>
    <w:rsid w:val="00893859"/>
    <w:rsid w:val="00896011"/>
    <w:rsid w:val="008C10FD"/>
    <w:rsid w:val="008C4E16"/>
    <w:rsid w:val="008E529C"/>
    <w:rsid w:val="008E6B0A"/>
    <w:rsid w:val="008F4242"/>
    <w:rsid w:val="008F65B1"/>
    <w:rsid w:val="008F7FD9"/>
    <w:rsid w:val="00916D85"/>
    <w:rsid w:val="00931B87"/>
    <w:rsid w:val="00931FC8"/>
    <w:rsid w:val="0093436E"/>
    <w:rsid w:val="00935808"/>
    <w:rsid w:val="00946093"/>
    <w:rsid w:val="00947D0A"/>
    <w:rsid w:val="00956E5A"/>
    <w:rsid w:val="00980BDB"/>
    <w:rsid w:val="00981AD7"/>
    <w:rsid w:val="0098323F"/>
    <w:rsid w:val="0098456D"/>
    <w:rsid w:val="00987690"/>
    <w:rsid w:val="009957E3"/>
    <w:rsid w:val="009B4246"/>
    <w:rsid w:val="009C16A8"/>
    <w:rsid w:val="009C2B56"/>
    <w:rsid w:val="009C3EF5"/>
    <w:rsid w:val="009C4BF3"/>
    <w:rsid w:val="009E5298"/>
    <w:rsid w:val="009F2723"/>
    <w:rsid w:val="009F44E6"/>
    <w:rsid w:val="009F7F27"/>
    <w:rsid w:val="00A0510B"/>
    <w:rsid w:val="00A0673D"/>
    <w:rsid w:val="00A07C8F"/>
    <w:rsid w:val="00A11357"/>
    <w:rsid w:val="00A224FF"/>
    <w:rsid w:val="00A47967"/>
    <w:rsid w:val="00A56D91"/>
    <w:rsid w:val="00A63F9B"/>
    <w:rsid w:val="00A75BC6"/>
    <w:rsid w:val="00A77815"/>
    <w:rsid w:val="00AA4F34"/>
    <w:rsid w:val="00AD12A1"/>
    <w:rsid w:val="00AD3424"/>
    <w:rsid w:val="00AD784E"/>
    <w:rsid w:val="00AF208F"/>
    <w:rsid w:val="00AF28CC"/>
    <w:rsid w:val="00AF4F4B"/>
    <w:rsid w:val="00AF6428"/>
    <w:rsid w:val="00B05C34"/>
    <w:rsid w:val="00B0642E"/>
    <w:rsid w:val="00B10E28"/>
    <w:rsid w:val="00B14B95"/>
    <w:rsid w:val="00B14CC6"/>
    <w:rsid w:val="00B1731E"/>
    <w:rsid w:val="00B210C8"/>
    <w:rsid w:val="00B23DE0"/>
    <w:rsid w:val="00B31E81"/>
    <w:rsid w:val="00B36A8D"/>
    <w:rsid w:val="00B37E7B"/>
    <w:rsid w:val="00B42BAF"/>
    <w:rsid w:val="00B50C0E"/>
    <w:rsid w:val="00B64B1F"/>
    <w:rsid w:val="00B64B96"/>
    <w:rsid w:val="00B661DF"/>
    <w:rsid w:val="00B679AB"/>
    <w:rsid w:val="00B71657"/>
    <w:rsid w:val="00B717C2"/>
    <w:rsid w:val="00B71DB2"/>
    <w:rsid w:val="00B805CE"/>
    <w:rsid w:val="00B81202"/>
    <w:rsid w:val="00B868C3"/>
    <w:rsid w:val="00B91F25"/>
    <w:rsid w:val="00BA0B99"/>
    <w:rsid w:val="00BB2465"/>
    <w:rsid w:val="00BB3C9A"/>
    <w:rsid w:val="00BB3FB9"/>
    <w:rsid w:val="00BB5956"/>
    <w:rsid w:val="00BC1530"/>
    <w:rsid w:val="00BC54F2"/>
    <w:rsid w:val="00BD2BB7"/>
    <w:rsid w:val="00BD41AA"/>
    <w:rsid w:val="00BD649A"/>
    <w:rsid w:val="00BD7544"/>
    <w:rsid w:val="00BD75B6"/>
    <w:rsid w:val="00BE00C8"/>
    <w:rsid w:val="00BE0BE5"/>
    <w:rsid w:val="00BE76E1"/>
    <w:rsid w:val="00BF55B8"/>
    <w:rsid w:val="00BF74CC"/>
    <w:rsid w:val="00C0113D"/>
    <w:rsid w:val="00C1413D"/>
    <w:rsid w:val="00C155A8"/>
    <w:rsid w:val="00C27238"/>
    <w:rsid w:val="00C3349B"/>
    <w:rsid w:val="00C3681C"/>
    <w:rsid w:val="00C4349F"/>
    <w:rsid w:val="00C47B17"/>
    <w:rsid w:val="00C47E17"/>
    <w:rsid w:val="00C61C7A"/>
    <w:rsid w:val="00C631C8"/>
    <w:rsid w:val="00C67575"/>
    <w:rsid w:val="00C67761"/>
    <w:rsid w:val="00C707EE"/>
    <w:rsid w:val="00C77815"/>
    <w:rsid w:val="00C84F18"/>
    <w:rsid w:val="00C85EF2"/>
    <w:rsid w:val="00C913CB"/>
    <w:rsid w:val="00C91A46"/>
    <w:rsid w:val="00CA3CB5"/>
    <w:rsid w:val="00CA4350"/>
    <w:rsid w:val="00CB77C2"/>
    <w:rsid w:val="00CB7BFF"/>
    <w:rsid w:val="00CC220E"/>
    <w:rsid w:val="00CC46C8"/>
    <w:rsid w:val="00CD23E3"/>
    <w:rsid w:val="00CD31E1"/>
    <w:rsid w:val="00CD3E5F"/>
    <w:rsid w:val="00CD4627"/>
    <w:rsid w:val="00CD7243"/>
    <w:rsid w:val="00D00E58"/>
    <w:rsid w:val="00D01131"/>
    <w:rsid w:val="00D048F7"/>
    <w:rsid w:val="00D10120"/>
    <w:rsid w:val="00D111AE"/>
    <w:rsid w:val="00D1190D"/>
    <w:rsid w:val="00D12FCE"/>
    <w:rsid w:val="00D143E8"/>
    <w:rsid w:val="00D213A1"/>
    <w:rsid w:val="00D21E5B"/>
    <w:rsid w:val="00D37335"/>
    <w:rsid w:val="00D40086"/>
    <w:rsid w:val="00D454DF"/>
    <w:rsid w:val="00D64B97"/>
    <w:rsid w:val="00D65655"/>
    <w:rsid w:val="00D66772"/>
    <w:rsid w:val="00D7058C"/>
    <w:rsid w:val="00DA2090"/>
    <w:rsid w:val="00DA35FD"/>
    <w:rsid w:val="00DA7F2A"/>
    <w:rsid w:val="00DB1B10"/>
    <w:rsid w:val="00DB2AE1"/>
    <w:rsid w:val="00DB4A0E"/>
    <w:rsid w:val="00DB4CCD"/>
    <w:rsid w:val="00DB6E26"/>
    <w:rsid w:val="00DC02C5"/>
    <w:rsid w:val="00DD3ADE"/>
    <w:rsid w:val="00DD60F1"/>
    <w:rsid w:val="00DD6AE4"/>
    <w:rsid w:val="00DE3D24"/>
    <w:rsid w:val="00DE7959"/>
    <w:rsid w:val="00DF32A7"/>
    <w:rsid w:val="00DF59CC"/>
    <w:rsid w:val="00DF7743"/>
    <w:rsid w:val="00E01B8E"/>
    <w:rsid w:val="00E12598"/>
    <w:rsid w:val="00E274CA"/>
    <w:rsid w:val="00E30EB4"/>
    <w:rsid w:val="00E32E55"/>
    <w:rsid w:val="00E3473F"/>
    <w:rsid w:val="00E409F7"/>
    <w:rsid w:val="00E41107"/>
    <w:rsid w:val="00E669D6"/>
    <w:rsid w:val="00E6760D"/>
    <w:rsid w:val="00E76DA9"/>
    <w:rsid w:val="00E7761A"/>
    <w:rsid w:val="00E85E66"/>
    <w:rsid w:val="00E868B0"/>
    <w:rsid w:val="00E91A9D"/>
    <w:rsid w:val="00E97AA3"/>
    <w:rsid w:val="00E97BDC"/>
    <w:rsid w:val="00EA42F1"/>
    <w:rsid w:val="00EB05F7"/>
    <w:rsid w:val="00EB548A"/>
    <w:rsid w:val="00ED7915"/>
    <w:rsid w:val="00EE20C6"/>
    <w:rsid w:val="00EE31D5"/>
    <w:rsid w:val="00EF3364"/>
    <w:rsid w:val="00EF363C"/>
    <w:rsid w:val="00EF79AD"/>
    <w:rsid w:val="00F01745"/>
    <w:rsid w:val="00F154A4"/>
    <w:rsid w:val="00F15A04"/>
    <w:rsid w:val="00F173FA"/>
    <w:rsid w:val="00F23143"/>
    <w:rsid w:val="00F23C10"/>
    <w:rsid w:val="00F316A1"/>
    <w:rsid w:val="00F37504"/>
    <w:rsid w:val="00F41255"/>
    <w:rsid w:val="00F5243E"/>
    <w:rsid w:val="00F5568B"/>
    <w:rsid w:val="00F57098"/>
    <w:rsid w:val="00F57B53"/>
    <w:rsid w:val="00F60A5A"/>
    <w:rsid w:val="00F73A18"/>
    <w:rsid w:val="00F83583"/>
    <w:rsid w:val="00F83648"/>
    <w:rsid w:val="00F83F90"/>
    <w:rsid w:val="00F97843"/>
    <w:rsid w:val="00FA1EAF"/>
    <w:rsid w:val="00FA3039"/>
    <w:rsid w:val="00FA3F96"/>
    <w:rsid w:val="00FA4081"/>
    <w:rsid w:val="00FA42D4"/>
    <w:rsid w:val="00FA5792"/>
    <w:rsid w:val="00FA686A"/>
    <w:rsid w:val="00FC1AD3"/>
    <w:rsid w:val="00FC38C5"/>
    <w:rsid w:val="00FC4B4A"/>
    <w:rsid w:val="00FC5B7B"/>
    <w:rsid w:val="00FC6617"/>
    <w:rsid w:val="00FC7912"/>
    <w:rsid w:val="00FE5C44"/>
    <w:rsid w:val="00FF2AE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D096"/>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 w:type="character" w:styleId="af8">
    <w:name w:val="Placeholder Text"/>
    <w:basedOn w:val="a0"/>
    <w:uiPriority w:val="99"/>
    <w:semiHidden/>
    <w:rsid w:val="00EF79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834759062">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05C4-04A8-4863-B2F1-719F1ECA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26</Pages>
  <Words>8634</Words>
  <Characters>49220</Characters>
  <Application>Microsoft Office Word</Application>
  <DocSecurity>0</DocSecurity>
  <Lines>410</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pid</cp:lastModifiedBy>
  <cp:revision>37</cp:revision>
  <dcterms:created xsi:type="dcterms:W3CDTF">2023-04-07T12:06:00Z</dcterms:created>
  <dcterms:modified xsi:type="dcterms:W3CDTF">2023-05-25T08:55:00Z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