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3" w:rsidRPr="00B577B3" w:rsidRDefault="00B577B3" w:rsidP="008A325F">
      <w:pPr>
        <w:shd w:val="clear" w:color="auto" w:fill="FFFFFF"/>
        <w:spacing w:after="75" w:line="288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30"/>
          <w:szCs w:val="30"/>
        </w:rPr>
      </w:pPr>
      <w:proofErr w:type="spellStart"/>
      <w:r w:rsidRPr="00B577B3">
        <w:rPr>
          <w:rFonts w:ascii="ProbaPro" w:eastAsia="Times New Roman" w:hAnsi="ProbaPro" w:cs="Times New Roman"/>
          <w:b/>
          <w:bCs/>
          <w:color w:val="1D1D1B"/>
          <w:sz w:val="30"/>
          <w:szCs w:val="30"/>
        </w:rPr>
        <w:t>Постанова</w:t>
      </w:r>
      <w:proofErr w:type="spellEnd"/>
    </w:p>
    <w:p w:rsidR="00B577B3" w:rsidRPr="00B577B3" w:rsidRDefault="00B577B3" w:rsidP="008A325F">
      <w:pPr>
        <w:shd w:val="clear" w:color="auto" w:fill="FFFFFF"/>
        <w:spacing w:after="75" w:line="288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</w:rPr>
      </w:pPr>
      <w:proofErr w:type="spellStart"/>
      <w:r w:rsidRPr="00B577B3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</w:rPr>
        <w:t>від</w:t>
      </w:r>
      <w:proofErr w:type="spellEnd"/>
      <w:r w:rsidRPr="00B577B3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</w:rPr>
        <w:t xml:space="preserve"> 17 </w:t>
      </w:r>
      <w:proofErr w:type="spellStart"/>
      <w:r w:rsidRPr="00B577B3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</w:rPr>
        <w:t>червня</w:t>
      </w:r>
      <w:proofErr w:type="spellEnd"/>
      <w:r w:rsidRPr="00B577B3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</w:rPr>
        <w:t xml:space="preserve"> 2020 р. № 1119</w:t>
      </w:r>
    </w:p>
    <w:p w:rsidR="00B577B3" w:rsidRPr="008A325F" w:rsidRDefault="00B577B3" w:rsidP="008A325F">
      <w:pPr>
        <w:shd w:val="clear" w:color="auto" w:fill="FFFFFF"/>
        <w:spacing w:line="288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</w:pP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Про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видачу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ліцензій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з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постачання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електричної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енергії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споживачу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ТОВ "ЕК ЕНЕРГО-ПРОСТІР", ТОВ "ЗАКАРПАТГАЗ ЗБУТ", ТОВ "КИЇВОБЛГАЗ ЗБУТ", ТОВ "МИКОЛАЇВГАЗ ЗБУТ", </w:t>
      </w:r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  <w:highlight w:val="yellow"/>
        </w:rPr>
        <w:t>КОНЦЕРНУ "МТМ",</w:t>
      </w:r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ТОВ "СУМИГАЗ ЗБУТ", ТОВ "ТИСАГАЗ", ТОВ "ФЛЕКС ІМПОРТ", ТОВ "ХАРКІВГАЗ ЗБУТ", ТОВ "ХМЕЛЬНИЦЬКГАЗ ЗБУТ" </w:t>
      </w:r>
      <w:proofErr w:type="spellStart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>та</w:t>
      </w:r>
      <w:proofErr w:type="spellEnd"/>
      <w:r w:rsidRPr="008A325F">
        <w:rPr>
          <w:rFonts w:ascii="ProbaPro" w:eastAsia="Times New Roman" w:hAnsi="ProbaPro" w:cs="Times New Roman"/>
          <w:b/>
          <w:bCs/>
          <w:color w:val="1D1D1B"/>
          <w:sz w:val="32"/>
          <w:szCs w:val="32"/>
        </w:rPr>
        <w:t xml:space="preserve"> ТОВ "ЧЕРНІГІВГАЗ ЗБУТ</w:t>
      </w:r>
    </w:p>
    <w:p w:rsidR="00B577B3" w:rsidRPr="00B577B3" w:rsidRDefault="00BB784B" w:rsidP="00B577B3">
      <w:pPr>
        <w:shd w:val="clear" w:color="auto" w:fill="FFFFFF"/>
        <w:spacing w:after="0" w:line="450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hyperlink r:id="rId5" w:history="1">
        <w:r w:rsidR="00B577B3" w:rsidRPr="00B577B3">
          <w:rPr>
            <w:rFonts w:ascii="ProbaPro" w:eastAsia="Times New Roman" w:hAnsi="ProbaPro" w:cs="Times New Roman"/>
            <w:caps/>
            <w:color w:val="4B4B4D"/>
            <w:spacing w:val="17"/>
            <w:sz w:val="17"/>
            <w:szCs w:val="17"/>
            <w:u w:val="single"/>
          </w:rPr>
          <w:t>ЛІЦЕНЗУВАННЯ ЕЛЕКТРОЕНЕРГІЇ</w:t>
        </w:r>
      </w:hyperlink>
      <w:hyperlink r:id="rId6" w:history="1">
        <w:r w:rsidR="00B577B3" w:rsidRPr="00B577B3">
          <w:rPr>
            <w:rFonts w:ascii="ProbaPro" w:eastAsia="Times New Roman" w:hAnsi="ProbaPro" w:cs="Times New Roman"/>
            <w:caps/>
            <w:color w:val="4B4B4D"/>
            <w:spacing w:val="17"/>
            <w:sz w:val="17"/>
            <w:szCs w:val="17"/>
            <w:u w:val="single"/>
          </w:rPr>
          <w:t>ПОСТАНОВИ</w:t>
        </w:r>
      </w:hyperlink>
    </w:p>
    <w:p w:rsidR="00B577B3" w:rsidRPr="00B577B3" w:rsidRDefault="00B577B3" w:rsidP="00B577B3">
      <w:pPr>
        <w:shd w:val="clear" w:color="auto" w:fill="FFFFFF"/>
        <w:spacing w:line="450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B577B3">
        <w:rPr>
          <w:rFonts w:ascii="ProbaPro" w:eastAsia="Times New Roman" w:hAnsi="ProbaPro" w:cs="Times New Roman"/>
          <w:color w:val="1D1D1B"/>
          <w:sz w:val="27"/>
          <w:szCs w:val="27"/>
        </w:rPr>
        <w:t>НадрукуватиПоділитисяТвітнути</w:t>
      </w:r>
      <w:proofErr w:type="spellEnd"/>
    </w:p>
    <w:p w:rsidR="00B577B3" w:rsidRPr="00B577B3" w:rsidRDefault="00B577B3" w:rsidP="00B577B3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НАЦІОНАЛЬНА КОМІСІЯ, ЩО ЗДІЙСНЮЄ ДЕРЖАВНЕ РЕГУЛЮВАННЯ</w:t>
      </w:r>
    </w:p>
    <w:p w:rsidR="00B577B3" w:rsidRPr="00B577B3" w:rsidRDefault="00B577B3" w:rsidP="00B577B3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 СФЕРАХ ЕНЕРГЕТИКИ ТА КОМУНАЛЬНИХ ПОСЛУГ</w:t>
      </w:r>
    </w:p>
    <w:p w:rsidR="00B577B3" w:rsidRPr="00B577B3" w:rsidRDefault="00B577B3" w:rsidP="00B577B3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</w:p>
    <w:p w:rsidR="00B577B3" w:rsidRPr="00B577B3" w:rsidRDefault="00B577B3" w:rsidP="00B577B3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ПОСТАНОВА</w:t>
      </w:r>
    </w:p>
    <w:p w:rsidR="00B577B3" w:rsidRPr="00B577B3" w:rsidRDefault="00B577B3" w:rsidP="00B577B3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17.06.2020</w:t>
      </w: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        </w:t>
      </w: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№ 1119</w:t>
      </w:r>
    </w:p>
    <w:p w:rsidR="00B577B3" w:rsidRPr="00B577B3" w:rsidRDefault="00B577B3" w:rsidP="00B577B3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</w:p>
    <w:p w:rsidR="00B577B3" w:rsidRDefault="00B577B3" w:rsidP="00B57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</w:pPr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Про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видачу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ліцензій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з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постачання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електричної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енергії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споживачу</w:t>
      </w:r>
      <w:proofErr w:type="spell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gramStart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ТОВ</w:t>
      </w:r>
      <w:proofErr w:type="gramEnd"/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«ЕК ЕНЕРГО-ПРОСТІР», ТОВ «ЗАКАРПАТГАЗ ЗБУТ», ТОВ «КИЇВОБЛГАЗ ЗБУТ», ТОВ «МИКОЛАЇВГАЗ ЗБУТ», </w:t>
      </w:r>
      <w:r w:rsidRPr="008A325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bdr w:val="none" w:sz="0" w:space="0" w:color="auto" w:frame="1"/>
          <w:lang w:val="ru-RU"/>
        </w:rPr>
        <w:t>КОНЦЕРНУ «МТМ»,</w:t>
      </w:r>
      <w:r w:rsidRPr="00B577B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ТОВ «СУМИГАЗ ЗБУТ», ТОВ «ТИСАГАЗ», ТОВ «ФЛЕКС ІМПОРТ», ТОВ «ХАРКІВГАЗ ЗБУТ», ТОВ «ХМЕЛЬНИЦЬКГАЗ ЗБУТ» та ТОВ «ЧЕРНІГІВГАЗ ЗБУТ»</w:t>
      </w:r>
    </w:p>
    <w:p w:rsidR="008A325F" w:rsidRPr="008A325F" w:rsidRDefault="008A325F" w:rsidP="00B577B3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val="ru-RU"/>
        </w:rPr>
      </w:pPr>
    </w:p>
    <w:p w:rsidR="00B577B3" w:rsidRPr="008A325F" w:rsidRDefault="00B577B3" w:rsidP="008A325F">
      <w:pPr>
        <w:shd w:val="clear" w:color="auto" w:fill="FFFFFF"/>
        <w:spacing w:after="225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proofErr w:type="gram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Відповідно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законів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«Про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Національну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комісію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у сферах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енергетики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комунальних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послуг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», «Про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ринок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електричної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енергії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» та Порядку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ліцензування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видів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господарської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діяльності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яких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здійснюється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Національною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комісією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у сферах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енергетики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комунальних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послуг</w:t>
      </w:r>
      <w:proofErr w:type="spellEnd"/>
      <w:proofErr w:type="gram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затвердженого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постановою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комісії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</w:t>
      </w:r>
      <w:proofErr w:type="gram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сферах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енергетики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комунальних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послуг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03</w:t>
      </w: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березня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2020 року № 548,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Національна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комісія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у сферах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енергетики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комунальних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послуг</w:t>
      </w:r>
      <w:proofErr w:type="spellEnd"/>
      <w:r w:rsidRPr="008A32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, ПОСТАНОВЛЯЄ:</w:t>
      </w:r>
    </w:p>
    <w:p w:rsidR="00B577B3" w:rsidRPr="00B577B3" w:rsidRDefault="00B577B3" w:rsidP="008A325F">
      <w:pPr>
        <w:shd w:val="clear" w:color="auto" w:fill="FFFFFF"/>
        <w:spacing w:after="225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Видати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ліцензії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на право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провадження</w:t>
      </w:r>
      <w:proofErr w:type="spellEnd"/>
      <w:proofErr w:type="gram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господарської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діяльності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постачання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електричної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споживачу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: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«ЕНЕРГЕТИЧНА КОМПАНІЯ ЕНЕРГО-ПРОСТІР» (код ЄДРПОУ 43276527);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«ЗАКАРПАТГАЗ ЗБУТ» (код ЄДРПОУ 39582749);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lastRenderedPageBreak/>
        <w:t>ТОВАРИСТВУ З ОБМЕЖЕНОЮ ВІДПОВІДАЛЬНІСТЮ «КИЇВОБЛГАЗ ЗБУТ» (код ЄДРПОУ 39592941);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«МИКОЛАЇВГАЗ ЗБУТ» (код ЄДРПОУ 39589483);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B784B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lang w:val="ru-RU"/>
        </w:rPr>
        <w:t>КОНЦЕРНУ «МІСЬКІ ТЕПЛОВІ МЕРЕЖІ» (код ЄДРПОУ 32121458);</w:t>
      </w:r>
      <w:bookmarkStart w:id="0" w:name="_GoBack"/>
      <w:bookmarkEnd w:id="0"/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«СУМИГАЗ ЗБУТ» (код ЄДРПОУ 39586236);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«ТИСАГАЗ» (код ЄДРПОУ 22091121);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«ФЛЕКС ІМПОРТ» (код ЄДРПОУ 42645977);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«ХАРКІВГАЗ ЗБУТ» (код ЄДРПОУ 39590621);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«ХМЕЛЬНИЦЬКГАЗ ЗБУТ» (код ЄДРПОУ 39585960);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ТОВАРИСТВУ З ОБМЕЖЕНОЮ ВІДПОВІДАЛЬНІСТЮ «ЧЕРНІГІВГАЗ ЗБУТ» (код ЄДРПОУ 39576385).</w:t>
      </w:r>
    </w:p>
    <w:p w:rsidR="00B577B3" w:rsidRPr="00B577B3" w:rsidRDefault="00B577B3" w:rsidP="00B577B3">
      <w:pPr>
        <w:shd w:val="clear" w:color="auto" w:fill="FFFFFF"/>
        <w:spacing w:after="0" w:line="240" w:lineRule="auto"/>
        <w:ind w:firstLine="49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За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видачу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ліцензії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справляється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плата в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розмірі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одного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прожиткового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мінімуму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працездатних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діє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на день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прийняття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цієї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постанови, яку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має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бути внесено на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рахунок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казначейської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служби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за кодом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класифікації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доходів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бюджету 22011500 «Плата за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ліцензії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сертифікацію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оператора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системи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передачі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електричної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енергії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оператора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газотранспортної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системи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видані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/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здійснену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Національною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комісією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здійснює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регулювання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у сферах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енергетики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комунальних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послуг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» у строк не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пізніше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десяти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робочих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днів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з дня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оприлюднення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цього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рішення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установленому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 xml:space="preserve"> порядку.</w:t>
      </w:r>
    </w:p>
    <w:p w:rsidR="00B577B3" w:rsidRPr="00B577B3" w:rsidRDefault="00B577B3" w:rsidP="00B577B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B577B3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</w:p>
    <w:p w:rsidR="00B577B3" w:rsidRPr="00B577B3" w:rsidRDefault="00B577B3" w:rsidP="00B577B3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Голова</w:t>
      </w:r>
      <w:proofErr w:type="spellEnd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НКРЕКП                                              </w:t>
      </w:r>
      <w:proofErr w:type="spellStart"/>
      <w:r w:rsidRPr="00B577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В.Тарасюк</w:t>
      </w:r>
      <w:proofErr w:type="spellEnd"/>
    </w:p>
    <w:p w:rsidR="001A304C" w:rsidRDefault="001A304C"/>
    <w:sectPr w:rsidR="001A30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0"/>
    <w:rsid w:val="001A304C"/>
    <w:rsid w:val="001F4010"/>
    <w:rsid w:val="008A325F"/>
    <w:rsid w:val="00B577B3"/>
    <w:rsid w:val="00B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501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0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rc.gov.ua/tag/postanovi" TargetMode="External"/><Relationship Id="rId5" Type="http://schemas.openxmlformats.org/officeDocument/2006/relationships/hyperlink" Target="https://www.nerc.gov.ua/tag/litsenzuvannya-elektroener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Гармаш Андрей</cp:lastModifiedBy>
  <cp:revision>5</cp:revision>
  <dcterms:created xsi:type="dcterms:W3CDTF">2023-12-19T18:50:00Z</dcterms:created>
  <dcterms:modified xsi:type="dcterms:W3CDTF">2023-12-26T09:33:00Z</dcterms:modified>
</cp:coreProperties>
</file>