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ДОГОВІР ПОСТАВКИ № 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м. ___________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="00DB0B2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gramEnd"/>
      <w:r w:rsidR="00DB0B2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__» _________ 2023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року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Товариство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обмеженою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відповідальністю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»,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однієї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,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 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спільно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нижченаведене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1.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  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ПРЕДМЕТ ДОГОВОРУ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1.1.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зобов'язується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власність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оплатити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продукцію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асортименті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тексту договору - Товар.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1.2. Характеристики,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номенклатура,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ціна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зазначається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hyperlink r:id="rId4" w:tgtFrame="_blank" w:history="1"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 xml:space="preserve">в </w:t>
        </w:r>
        <w:proofErr w:type="spellStart"/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>Специфікації</w:t>
        </w:r>
        <w:proofErr w:type="spellEnd"/>
        <w:r w:rsidRPr="00C5057D">
          <w:rPr>
            <w:rFonts w:ascii="Eurofurenceregular" w:eastAsia="Times New Roman" w:hAnsi="Eurofurenceregular" w:cs="Times New Roman"/>
            <w:color w:val="337AB7"/>
            <w:sz w:val="27"/>
            <w:szCs w:val="27"/>
            <w:u w:val="single"/>
            <w:lang w:val="ru-RU"/>
          </w:rPr>
          <w:t xml:space="preserve"> до Договору</w:t>
        </w:r>
      </w:hyperlink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невід'ємною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частиною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1.3. Товар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партіями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виписує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товарну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накладну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1.4. Товар,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повинен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Специфікаціям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заводу-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супровідної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F97EAF" w:rsidRPr="00C5057D" w:rsidRDefault="00F97EAF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1.5     Доставка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2.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  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БАЗИСНІ УМОВИ ТА СТРОК ПОСТАВКИ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доставку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адресою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: 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узгоджено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2.2. Право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власності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Товар, переходить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уповноваженої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ним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оформлення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) Сторонами товарно-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транспортних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2.3. Порядок і строки поставки </w:t>
      </w:r>
      <w:proofErr w:type="spellStart"/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сторонами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2.4.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обсяг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складається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із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3. УМОВИ РОЗРАХУНКІВ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Умови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 та поставки Товару </w:t>
      </w:r>
      <w:proofErr w:type="spellStart"/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узгоджуються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Договору.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3.2. Оплата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національній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валюті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гривні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банківських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реквізитів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зазначеними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Договорі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3.3. Датою платежу є дата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зарахування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коштів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поточний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банківський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3.4.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погоджена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до Договору,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фіксованою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незмінною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усього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4. УМОВИ ЗДАЧІ-ПРИЙМАННЯ ТОВАРУ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вповноваженому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до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перерахування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-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підтверджують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технічним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вимогам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Інструкції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порядок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продукції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виробничо-технічного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призначення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товарів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народного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споживання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N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П-6,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Постановою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Держарбітражу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Міністрів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СРСР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15.06.65г.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 № П-7.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Постановою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Держарбітражу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Міністрів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СРСР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25.04.66г.</w:t>
      </w:r>
    </w:p>
    <w:p w:rsid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Претензії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рекламації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відносно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30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тридцяти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календарних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уповноваженому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B727E3" w:rsidRPr="00C5057D" w:rsidRDefault="00B727E3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4.4. Поставки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здійснюються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партіями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протязі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за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рахунок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5. ФОРС - МАЖОР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5.1.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випадку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перешкоджають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частковому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однієї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договором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пожежа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стихійне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лихо,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ембарго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воєнні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рішення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державних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органів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т.д.)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незалежних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волі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свідомості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строки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lastRenderedPageBreak/>
        <w:t xml:space="preserve">договором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відсуваються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часу,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Сторона,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повністю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частково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Договором,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явилося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слідством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надзвичайних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після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 за договором не могла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передбачати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могла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перешкодити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сповіщають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один одного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таких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їхньої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можливої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тривалості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припиненні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протягом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10 (десяти)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календарних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днів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писемній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формі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повідомлення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несвоєчасне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повідомлення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форс-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мажорних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позбавляє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Сторону права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посилатися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зазначені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пункті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5.1.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як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звільняє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договором.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5.3.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форс-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мажорних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обставин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бути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підтверджене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компетентним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органом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організацією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6. УПАКОВКА Й МАРКУВАННЯ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6.1. Товар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повинен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стандартну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тару (упаковку),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забезпечує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зберігання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виключає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(Товару)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ушкодження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навантаженні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розвантаженні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транспортуванні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складському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зберіганні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6.2. Будь-яка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нестандартна тара (упаковка) повинна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оплачуватися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6.3.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тари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(упаковки)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маркування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включені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7. ВІДПОВІДАЛЬНІСТЬ СТОРІН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7.1.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неналежному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вони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відповідальність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діючого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законодавства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7.2.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порушенні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строків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поставки Товару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Покупцеві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неустойку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вигляді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розмірі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0,5%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недопоставленого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вчасно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день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7.3.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порушенні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строків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Постачальникові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неустойку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вигляді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розмірі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подвійної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облікової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ставки НБУ,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діяла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період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оплати,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несвоєчасно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оплаченого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день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прострочення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7.4.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Виплата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неустойки (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)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звільняє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8. ПОРЯДОК РОЗГЛЯДУ СУПЕРЕЧОК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8.1. Усе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суперечки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розбіжності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виникають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Договором,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вирішуватися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переговорів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між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8.2.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дійти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згоди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то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суперечки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розбіжності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повинні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бути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врегульовані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Господарським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судом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діючого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законодавства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Досудового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врегулювання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суперечок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не є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обов'язковим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9. ДОГОВІР В ЦІЛОМУ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9.1.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Цей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складений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розумінні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умов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термінології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українською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мовою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двох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автентичних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примірниках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однакову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силу, – по одному для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кожної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із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9.2.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Після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всі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попередні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переговори по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ньому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переписка,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попередні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угоди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протоколи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наміри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питань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які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стосуються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втрачають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силу, але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прийматися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уваги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час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розгляду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спорів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9.3.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можуть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вносити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зміни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доповнення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шляхом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Додаткової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угоди та/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або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внесення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змін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і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доповнень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раніше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затверджені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 договору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9.4. Даний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Договір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набуває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чинності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моменту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підписання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його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Сторонами й </w:t>
      </w:r>
      <w:proofErr w:type="spellStart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31 </w:t>
      </w:r>
      <w:proofErr w:type="spellStart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грудня</w:t>
      </w:r>
      <w:proofErr w:type="spellEnd"/>
      <w:r w:rsidR="00382E80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20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__ року, але в кожному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разі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повного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Сторонами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прийнятих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себе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зобов'язань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9.5. При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укладанні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оформленні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передачі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виконанні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цього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допускають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використання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факсимільного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зв'язку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електронної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пошти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;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передані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використанням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такого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зв'язку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будуть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юридичну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силу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обміну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оригіналами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цих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документів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9.6.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мають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статус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платників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податку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прибуток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підставах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9.7.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Сторони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згоду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обробку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їх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персональних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згідно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Закону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України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«Про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захист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персональних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даних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» № 2297-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VI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01.06.2010р.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10. РЕКВІЗИТИ Й ПІДПИСИ СТОРІН: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                                                                                           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C5057D" w:rsidRPr="00C5057D" w:rsidTr="00C5057D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ПОСТАЧАЛЬНИК: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Товариство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обмеженню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відповідальністю</w:t>
            </w:r>
            <w:proofErr w:type="spellEnd"/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ПОКУПЕЦЬ:</w:t>
            </w:r>
          </w:p>
          <w:p w:rsidR="002B304F" w:rsidRPr="00C33851" w:rsidRDefault="00C5057D" w:rsidP="002B304F">
            <w:pPr>
              <w:pStyle w:val="a6"/>
              <w:spacing w:line="238" w:lineRule="exact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C5057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 </w:t>
            </w:r>
            <w:proofErr w:type="spellStart"/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Ю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р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идичн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="002B304F" w:rsidRPr="00C33851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-2"/>
                <w:sz w:val="24"/>
                <w:szCs w:val="24"/>
                <w:lang w:val="ru-RU"/>
              </w:rPr>
              <w:t>а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д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реса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2B304F" w:rsidRPr="00C33851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8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2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3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Львівська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Борислав, ВУЛИЦЯ В. ІВАСЮКА,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B304F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Код</w:t>
            </w:r>
            <w:r w:rsidRPr="00C33851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 ЄДРПОУ</w:t>
            </w:r>
            <w:r>
              <w:rPr>
                <w:rFonts w:cs="Times New Roman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>РНПОКПП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32731027</w:t>
            </w:r>
            <w:proofErr w:type="gramEnd"/>
          </w:p>
          <w:p w:rsidR="002B304F" w:rsidRPr="00C33851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ІПН </w:t>
            </w:r>
            <w:r w:rsidRPr="00EA2771">
              <w:rPr>
                <w:rFonts w:cs="Times New Roman"/>
                <w:sz w:val="24"/>
                <w:szCs w:val="24"/>
                <w:lang w:val="ru-RU"/>
              </w:rPr>
              <w:t>327310213089</w:t>
            </w:r>
          </w:p>
          <w:p w:rsidR="002B304F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38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 </w:t>
            </w: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658201720344380002000078357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Державна казначейська служба </w:t>
            </w:r>
            <w:proofErr w:type="spellStart"/>
            <w:proofErr w:type="gram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України,м.</w:t>
            </w:r>
            <w:proofErr w:type="gramEnd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proofErr w:type="spellEnd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 УДКСУ у </w:t>
            </w:r>
            <w:proofErr w:type="spell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м.Борислав</w:t>
            </w:r>
            <w:proofErr w:type="spellEnd"/>
          </w:p>
          <w:p w:rsidR="002B304F" w:rsidRPr="00C33851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+380324852252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lastRenderedPageBreak/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2B304F" w:rsidP="00C5057D">
      <w:pPr>
        <w:shd w:val="clear" w:color="auto" w:fill="FFFFFF"/>
        <w:spacing w:before="300" w:after="30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>
        <w:rPr>
          <w:rFonts w:ascii="Eurofurenceregular" w:eastAsia="Times New Roman" w:hAnsi="Eurofurenceregular" w:cs="Times New Roman"/>
          <w:color w:val="23262B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СПЕЦИФІКАЦІЯ № 1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center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до Договору № ___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м. ____________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</w:t>
      </w:r>
      <w:proofErr w:type="gramEnd"/>
      <w:r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__» __________ 2021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року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Товариство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з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обмеженою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відповідальністю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 xml:space="preserve"> «________________________________»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«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Постачальник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»,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 _________________,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одного боку,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«________________________________»,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іменоване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надалі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«</w:t>
      </w:r>
      <w:proofErr w:type="spellStart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»,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особі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директора_________________,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діє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на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підставі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Статуту, з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іншого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боку,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уклали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дану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Специфікацію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договору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про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нижченаведене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1.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Затвердити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характеристики,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кількість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номенклатуру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загальну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партії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Товару,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що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поставляється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,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відповідно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Таблиці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: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75"/>
        <w:gridCol w:w="1125"/>
        <w:gridCol w:w="1155"/>
        <w:gridCol w:w="1410"/>
        <w:gridCol w:w="1710"/>
      </w:tblGrid>
      <w:tr w:rsidR="00C5057D" w:rsidRPr="002B304F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Кіл-сть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proofErr w:type="spell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 (грн.)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ПДВ (грн.)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ПДВ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(грн.)</w:t>
            </w:r>
          </w:p>
        </w:tc>
      </w:tr>
      <w:tr w:rsidR="00C5057D" w:rsidRPr="002B304F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2B304F" w:rsidTr="00C5057D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ПДВ (20%)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57D" w:rsidRPr="00C5057D" w:rsidTr="00C5057D">
        <w:trPr>
          <w:jc w:val="center"/>
        </w:trPr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ПДВ: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Загальна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вартість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Товару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складає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 xml:space="preserve"> 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2.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Покупець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оплачує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Товар в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наступному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gram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порядку:_</w:t>
      </w:r>
      <w:proofErr w:type="gram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3.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Строк поставки Товару: ____________________________________________________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4</w:t>
      </w: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. Адреса поставки: __________________________________________________________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  <w:lang w:val="ru-RU"/>
        </w:rPr>
        <w:t>5.</w:t>
      </w: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Всі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інші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умови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залишаються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незмінними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й </w:t>
      </w:r>
      <w:proofErr w:type="spellStart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>відповідають</w:t>
      </w:r>
      <w:proofErr w:type="spellEnd"/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  <w:t xml:space="preserve"> договору поставки</w:t>
      </w:r>
    </w:p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  <w:lang w:val="ru-RU"/>
        </w:rPr>
      </w:pPr>
      <w:r w:rsidRPr="00C5057D">
        <w:rPr>
          <w:rFonts w:ascii="Eurofurenceregular" w:eastAsia="Times New Roman" w:hAnsi="Eurofurenceregular" w:cs="Times New Roman"/>
          <w:b/>
          <w:bCs/>
          <w:color w:val="23262B"/>
          <w:sz w:val="27"/>
          <w:szCs w:val="27"/>
        </w:rPr>
        <w:t> 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00"/>
      </w:tblGrid>
      <w:tr w:rsidR="00C5057D" w:rsidRPr="00C5057D" w:rsidTr="00C5057D">
        <w:trPr>
          <w:jc w:val="center"/>
        </w:trPr>
        <w:tc>
          <w:tcPr>
            <w:tcW w:w="504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ПОСТАЧАЛЬНИК:</w:t>
            </w:r>
          </w:p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Товариство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обмеженню</w:t>
            </w:r>
            <w:proofErr w:type="spellEnd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відповідальністю</w:t>
            </w:r>
            <w:proofErr w:type="spellEnd"/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Директор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  <w:tc>
          <w:tcPr>
            <w:tcW w:w="5400" w:type="dxa"/>
            <w:shd w:val="clear" w:color="auto" w:fill="auto"/>
            <w:hideMark/>
          </w:tcPr>
          <w:p w:rsidR="00C5057D" w:rsidRPr="00C5057D" w:rsidRDefault="00C5057D" w:rsidP="00C505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ПОКУПЕЦЬ:</w:t>
            </w:r>
          </w:p>
          <w:p w:rsidR="002B304F" w:rsidRPr="00C33851" w:rsidRDefault="00C5057D" w:rsidP="002B304F">
            <w:pPr>
              <w:pStyle w:val="a6"/>
              <w:spacing w:line="238" w:lineRule="exact"/>
              <w:ind w:left="111"/>
              <w:rPr>
                <w:rFonts w:cs="Times New Roman"/>
                <w:sz w:val="24"/>
                <w:szCs w:val="24"/>
                <w:lang w:val="ru-RU"/>
              </w:rPr>
            </w:pPr>
            <w:r w:rsidRPr="00C5057D">
              <w:rPr>
                <w:rFonts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Ю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р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идичн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="002B304F" w:rsidRPr="00C33851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-2"/>
                <w:sz w:val="24"/>
                <w:szCs w:val="24"/>
                <w:lang w:val="ru-RU"/>
              </w:rPr>
              <w:t>а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д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реса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2B304F" w:rsidRPr="00C33851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8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2</w:t>
            </w:r>
            <w:r w:rsidR="002B304F" w:rsidRPr="00C33851">
              <w:rPr>
                <w:rFonts w:cs="Times New Roman"/>
                <w:spacing w:val="1"/>
                <w:sz w:val="24"/>
                <w:szCs w:val="24"/>
                <w:lang w:val="ru-RU"/>
              </w:rPr>
              <w:t>3</w:t>
            </w:r>
            <w:r w:rsidR="002B304F" w:rsidRPr="00C33851">
              <w:rPr>
                <w:rFonts w:cs="Times New Roman"/>
                <w:spacing w:val="-1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2B304F" w:rsidRPr="00C33851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Львівська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обл.,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Борислав, ВУЛИЦЯ В. ІВАСЮКА, </w:t>
            </w:r>
            <w:proofErr w:type="spellStart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будинок</w:t>
            </w:r>
            <w:proofErr w:type="spellEnd"/>
            <w:r w:rsidR="002B304F" w:rsidRPr="00C33851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</w:t>
            </w:r>
            <w:r w:rsidR="002B304F" w:rsidRPr="00C33851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2B304F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Код</w:t>
            </w:r>
            <w:r w:rsidRPr="00C33851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 ЄДРПОУ</w:t>
            </w:r>
            <w:r>
              <w:rPr>
                <w:rFonts w:cs="Times New Roman"/>
                <w:sz w:val="24"/>
                <w:szCs w:val="24"/>
                <w:lang w:val="ru-RU"/>
              </w:rPr>
              <w:t>/РНПОКПП</w:t>
            </w:r>
            <w:r w:rsidRPr="00C33851">
              <w:rPr>
                <w:rFonts w:cs="Times New Roman"/>
                <w:sz w:val="24"/>
                <w:szCs w:val="24"/>
                <w:lang w:val="ru-RU"/>
              </w:rPr>
              <w:t xml:space="preserve">  32731027</w:t>
            </w:r>
          </w:p>
          <w:p w:rsidR="002B304F" w:rsidRPr="00C33851" w:rsidRDefault="002B304F" w:rsidP="002B304F">
            <w:pPr>
              <w:pStyle w:val="a6"/>
              <w:spacing w:before="3"/>
              <w:ind w:left="164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ІПН </w:t>
            </w:r>
            <w:r w:rsidRPr="00EA2771">
              <w:rPr>
                <w:rFonts w:cs="Times New Roman"/>
                <w:sz w:val="24"/>
                <w:szCs w:val="24"/>
                <w:lang w:val="ru-RU"/>
              </w:rPr>
              <w:t>327310213089</w:t>
            </w:r>
          </w:p>
          <w:p w:rsidR="002B304F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3851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 </w:t>
            </w:r>
            <w:r w:rsidRPr="00C33851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658201720344380002000078357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Державна казначейська служба </w:t>
            </w:r>
            <w:proofErr w:type="spell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України,м.Київ</w:t>
            </w:r>
            <w:proofErr w:type="spellEnd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  УДКСУ у </w:t>
            </w:r>
            <w:proofErr w:type="spellStart"/>
            <w:r w:rsidRPr="00C338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м.Борислав</w:t>
            </w:r>
            <w:proofErr w:type="spellEnd"/>
          </w:p>
          <w:p w:rsidR="002B304F" w:rsidRPr="00C33851" w:rsidRDefault="002B304F" w:rsidP="002B304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+380324852252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5057D" w:rsidRPr="00C5057D" w:rsidRDefault="00C5057D" w:rsidP="00C505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</w:p>
        </w:tc>
      </w:tr>
    </w:tbl>
    <w:p w:rsidR="00C5057D" w:rsidRPr="00C5057D" w:rsidRDefault="00C5057D" w:rsidP="00C5057D">
      <w:pPr>
        <w:shd w:val="clear" w:color="auto" w:fill="FFFFFF"/>
        <w:spacing w:after="150" w:line="240" w:lineRule="auto"/>
        <w:ind w:left="720"/>
        <w:jc w:val="both"/>
        <w:rPr>
          <w:rFonts w:ascii="Eurofurenceregular" w:eastAsia="Times New Roman" w:hAnsi="Eurofurenceregular" w:cs="Times New Roman"/>
          <w:color w:val="23262B"/>
          <w:sz w:val="27"/>
          <w:szCs w:val="27"/>
        </w:rPr>
      </w:pPr>
      <w:r w:rsidRPr="00C5057D">
        <w:rPr>
          <w:rFonts w:ascii="Eurofurenceregular" w:eastAsia="Times New Roman" w:hAnsi="Eurofurenceregular" w:cs="Times New Roman"/>
          <w:color w:val="23262B"/>
          <w:sz w:val="27"/>
          <w:szCs w:val="27"/>
        </w:rPr>
        <w:t> </w:t>
      </w:r>
    </w:p>
    <w:p w:rsidR="00F83E25" w:rsidRDefault="00F83E25"/>
    <w:sectPr w:rsidR="00F83E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furenc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A"/>
    <w:rsid w:val="002B304F"/>
    <w:rsid w:val="00382E80"/>
    <w:rsid w:val="00B727E3"/>
    <w:rsid w:val="00C5057D"/>
    <w:rsid w:val="00DB0B2D"/>
    <w:rsid w:val="00E4395A"/>
    <w:rsid w:val="00F83E25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BB006-A8AF-456D-9BF0-235556B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57D"/>
    <w:rPr>
      <w:b/>
      <w:bCs/>
    </w:rPr>
  </w:style>
  <w:style w:type="character" w:styleId="a5">
    <w:name w:val="Hyperlink"/>
    <w:basedOn w:val="a0"/>
    <w:uiPriority w:val="99"/>
    <w:semiHidden/>
    <w:unhideWhenUsed/>
    <w:rsid w:val="00C5057D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2B304F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2B304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rotdel.com.ua/risne/zrazok_spetsufikatsii_do_dogovory_postav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2021-06-09T20:12:00Z</dcterms:created>
  <dcterms:modified xsi:type="dcterms:W3CDTF">2023-02-26T16:34:00Z</dcterms:modified>
</cp:coreProperties>
</file>