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FC52" w14:textId="77777777" w:rsidR="0039597C" w:rsidRPr="006C4532" w:rsidRDefault="0039597C" w:rsidP="0039597C">
      <w:pPr>
        <w:jc w:val="center"/>
        <w:rPr>
          <w:rFonts w:ascii="Times New Roman" w:hAnsi="Times New Roman" w:cs="Times New Roman"/>
          <w:b/>
          <w:lang w:val="uk-UA"/>
        </w:rPr>
      </w:pPr>
      <w:r w:rsidRPr="006C4532">
        <w:rPr>
          <w:rFonts w:ascii="Times New Roman" w:hAnsi="Times New Roman" w:cs="Times New Roman"/>
          <w:b/>
          <w:lang w:val="uk-UA"/>
        </w:rPr>
        <w:t>ПЕРЕЛІК ЗМІН</w:t>
      </w:r>
    </w:p>
    <w:p w14:paraId="5268ABBB" w14:textId="77777777" w:rsidR="0039597C" w:rsidRPr="006C4532" w:rsidRDefault="0039597C" w:rsidP="0039597C">
      <w:pPr>
        <w:jc w:val="center"/>
        <w:rPr>
          <w:rFonts w:ascii="Times New Roman" w:hAnsi="Times New Roman" w:cs="Times New Roman"/>
          <w:b/>
          <w:lang w:val="uk-UA"/>
        </w:rPr>
      </w:pPr>
      <w:r w:rsidRPr="006C4532">
        <w:rPr>
          <w:rFonts w:ascii="Times New Roman" w:hAnsi="Times New Roman" w:cs="Times New Roman"/>
          <w:b/>
          <w:lang w:val="uk-UA"/>
        </w:rPr>
        <w:t>до тендерної документації</w:t>
      </w:r>
    </w:p>
    <w:p w14:paraId="14910BE3" w14:textId="33089574" w:rsidR="009F41D9" w:rsidRPr="006C4532" w:rsidRDefault="0039597C" w:rsidP="008F0E6E">
      <w:pPr>
        <w:jc w:val="center"/>
        <w:rPr>
          <w:rFonts w:ascii="Times New Roman" w:hAnsi="Times New Roman" w:cs="Times New Roman"/>
          <w:b/>
          <w:bCs/>
          <w:lang w:val="uk-UA"/>
        </w:rPr>
      </w:pPr>
      <w:r w:rsidRPr="006C4532">
        <w:rPr>
          <w:rFonts w:ascii="Times New Roman" w:hAnsi="Times New Roman" w:cs="Times New Roman"/>
          <w:b/>
          <w:lang w:val="uk-UA"/>
        </w:rPr>
        <w:t xml:space="preserve">щодо умов проведення закупівлі </w:t>
      </w:r>
      <w:r w:rsidRPr="006C4532">
        <w:rPr>
          <w:rFonts w:ascii="Times New Roman" w:hAnsi="Times New Roman" w:cs="Times New Roman"/>
          <w:b/>
          <w:bCs/>
          <w:lang w:val="uk-UA"/>
        </w:rPr>
        <w:t xml:space="preserve">- </w:t>
      </w:r>
      <w:r w:rsidR="007A3B1C" w:rsidRPr="007A3B1C">
        <w:rPr>
          <w:rFonts w:ascii="Times New Roman" w:hAnsi="Times New Roman" w:cs="Times New Roman"/>
          <w:b/>
          <w:bCs/>
          <w:lang w:val="uk-UA"/>
        </w:rPr>
        <w:t>UA-2023-08-15-015317-a</w:t>
      </w:r>
    </w:p>
    <w:p w14:paraId="1B81CCF9" w14:textId="0954A67D" w:rsidR="00A63F31" w:rsidRPr="006C4532" w:rsidRDefault="00A63F31" w:rsidP="008F0E6E">
      <w:pPr>
        <w:jc w:val="center"/>
        <w:rPr>
          <w:rFonts w:ascii="Times New Roman" w:hAnsi="Times New Roman" w:cs="Times New Roman"/>
          <w:b/>
          <w:bCs/>
          <w:lang w:val="uk-UA"/>
        </w:rPr>
      </w:pPr>
      <w:r w:rsidRPr="006C4532">
        <w:rPr>
          <w:rFonts w:ascii="Times New Roman" w:hAnsi="Times New Roman" w:cs="Times New Roman"/>
          <w:b/>
          <w:bCs/>
          <w:lang w:val="uk-UA"/>
        </w:rPr>
        <w:t xml:space="preserve">затверджених </w:t>
      </w:r>
      <w:r w:rsidR="00D72BAB" w:rsidRPr="006C4532">
        <w:rPr>
          <w:rFonts w:ascii="Times New Roman" w:hAnsi="Times New Roman" w:cs="Times New Roman"/>
          <w:b/>
          <w:bCs/>
          <w:lang w:val="uk-UA"/>
        </w:rPr>
        <w:t>протоколом</w:t>
      </w:r>
      <w:r w:rsidR="00631A9E" w:rsidRPr="006C4532">
        <w:rPr>
          <w:rFonts w:ascii="Times New Roman" w:hAnsi="Times New Roman" w:cs="Times New Roman"/>
          <w:b/>
          <w:bCs/>
          <w:lang w:val="uk-UA"/>
        </w:rPr>
        <w:t xml:space="preserve"> уповноваженої особи</w:t>
      </w:r>
      <w:r w:rsidR="008F0E6E" w:rsidRPr="006C4532">
        <w:rPr>
          <w:rFonts w:ascii="Times New Roman" w:hAnsi="Times New Roman" w:cs="Times New Roman"/>
          <w:b/>
          <w:bCs/>
          <w:lang w:val="uk-UA"/>
        </w:rPr>
        <w:t xml:space="preserve"> № 2/</w:t>
      </w:r>
      <w:r w:rsidR="00E30708" w:rsidRPr="006C4532">
        <w:rPr>
          <w:rFonts w:ascii="Times New Roman" w:hAnsi="Times New Roman" w:cs="Times New Roman"/>
          <w:b/>
          <w:bCs/>
          <w:lang w:val="uk-UA"/>
        </w:rPr>
        <w:t>0911</w:t>
      </w:r>
      <w:r w:rsidR="008F0E6E" w:rsidRPr="006C4532">
        <w:rPr>
          <w:rFonts w:ascii="Times New Roman" w:hAnsi="Times New Roman" w:cs="Times New Roman"/>
          <w:b/>
          <w:bCs/>
          <w:lang w:val="uk-UA"/>
        </w:rPr>
        <w:t xml:space="preserve">/23 </w:t>
      </w:r>
      <w:r w:rsidR="00D72BAB" w:rsidRPr="006C4532">
        <w:rPr>
          <w:rFonts w:ascii="Times New Roman" w:hAnsi="Times New Roman" w:cs="Times New Roman"/>
          <w:b/>
          <w:bCs/>
          <w:lang w:val="uk-UA"/>
        </w:rPr>
        <w:t xml:space="preserve">від </w:t>
      </w:r>
      <w:r w:rsidR="00E30708" w:rsidRPr="006C4532">
        <w:rPr>
          <w:rFonts w:ascii="Times New Roman" w:hAnsi="Times New Roman" w:cs="Times New Roman"/>
          <w:b/>
          <w:bCs/>
          <w:lang w:val="uk-UA"/>
        </w:rPr>
        <w:t>18</w:t>
      </w:r>
      <w:r w:rsidR="008F0E6E" w:rsidRPr="006C4532">
        <w:rPr>
          <w:rFonts w:ascii="Times New Roman" w:hAnsi="Times New Roman" w:cs="Times New Roman"/>
          <w:b/>
          <w:bCs/>
          <w:lang w:val="uk-UA"/>
        </w:rPr>
        <w:t xml:space="preserve">.08.2023 </w:t>
      </w:r>
    </w:p>
    <w:p w14:paraId="5DA12733" w14:textId="77777777" w:rsidR="0039597C" w:rsidRPr="006C4532" w:rsidRDefault="0039597C">
      <w:pPr>
        <w:rPr>
          <w:lang w:val="uk-UA"/>
        </w:rPr>
      </w:pPr>
    </w:p>
    <w:tbl>
      <w:tblPr>
        <w:tblStyle w:val="a3"/>
        <w:tblW w:w="10632" w:type="dxa"/>
        <w:tblInd w:w="-572" w:type="dxa"/>
        <w:tblLook w:val="04A0" w:firstRow="1" w:lastRow="0" w:firstColumn="1" w:lastColumn="0" w:noHBand="0" w:noVBand="1"/>
      </w:tblPr>
      <w:tblGrid>
        <w:gridCol w:w="1614"/>
        <w:gridCol w:w="4553"/>
        <w:gridCol w:w="4465"/>
      </w:tblGrid>
      <w:tr w:rsidR="0039597C" w:rsidRPr="006C4532" w14:paraId="312B6331" w14:textId="77777777" w:rsidTr="00E30708">
        <w:tc>
          <w:tcPr>
            <w:tcW w:w="1486" w:type="dxa"/>
          </w:tcPr>
          <w:p w14:paraId="22814A26" w14:textId="77777777" w:rsidR="00290640" w:rsidRPr="006C4532" w:rsidRDefault="00872123" w:rsidP="0039597C">
            <w:pPr>
              <w:jc w:val="center"/>
              <w:rPr>
                <w:rFonts w:ascii="Times New Roman" w:hAnsi="Times New Roman" w:cs="Times New Roman"/>
                <w:b/>
                <w:sz w:val="20"/>
                <w:szCs w:val="20"/>
                <w:lang w:val="uk-UA"/>
              </w:rPr>
            </w:pPr>
            <w:r w:rsidRPr="006C4532">
              <w:rPr>
                <w:rFonts w:ascii="Times New Roman" w:hAnsi="Times New Roman" w:cs="Times New Roman"/>
                <w:b/>
                <w:sz w:val="20"/>
                <w:szCs w:val="20"/>
                <w:lang w:val="uk-UA"/>
              </w:rPr>
              <w:t xml:space="preserve">№/ </w:t>
            </w:r>
            <w:proofErr w:type="spellStart"/>
            <w:r w:rsidR="00B67377" w:rsidRPr="006C4532">
              <w:rPr>
                <w:rFonts w:ascii="Times New Roman" w:hAnsi="Times New Roman" w:cs="Times New Roman"/>
                <w:b/>
                <w:sz w:val="20"/>
                <w:szCs w:val="20"/>
                <w:lang w:val="uk-UA"/>
              </w:rPr>
              <w:t>пп</w:t>
            </w:r>
            <w:proofErr w:type="spellEnd"/>
            <w:r w:rsidR="00B67377" w:rsidRPr="006C4532">
              <w:rPr>
                <w:rFonts w:ascii="Times New Roman" w:hAnsi="Times New Roman" w:cs="Times New Roman"/>
                <w:b/>
                <w:sz w:val="20"/>
                <w:szCs w:val="20"/>
                <w:lang w:val="uk-UA"/>
              </w:rPr>
              <w:t>/п/розділу/</w:t>
            </w:r>
          </w:p>
          <w:p w14:paraId="0A69B8F4" w14:textId="44AC568D" w:rsidR="00B67377" w:rsidRPr="006C4532" w:rsidRDefault="00290640" w:rsidP="0039597C">
            <w:pPr>
              <w:jc w:val="center"/>
              <w:rPr>
                <w:rFonts w:ascii="Times New Roman" w:hAnsi="Times New Roman" w:cs="Times New Roman"/>
                <w:b/>
                <w:sz w:val="20"/>
                <w:szCs w:val="20"/>
                <w:lang w:val="uk-UA"/>
              </w:rPr>
            </w:pPr>
            <w:r w:rsidRPr="006C4532">
              <w:rPr>
                <w:rFonts w:ascii="Times New Roman" w:hAnsi="Times New Roman" w:cs="Times New Roman"/>
                <w:b/>
                <w:sz w:val="20"/>
                <w:szCs w:val="20"/>
                <w:lang w:val="uk-UA"/>
              </w:rPr>
              <w:t xml:space="preserve">додатку </w:t>
            </w:r>
          </w:p>
          <w:p w14:paraId="14E931EC" w14:textId="77777777" w:rsidR="0039597C" w:rsidRPr="006C4532" w:rsidRDefault="00B67377" w:rsidP="00B67377">
            <w:pPr>
              <w:jc w:val="center"/>
              <w:rPr>
                <w:rFonts w:ascii="Times New Roman" w:hAnsi="Times New Roman" w:cs="Times New Roman"/>
                <w:b/>
                <w:sz w:val="20"/>
                <w:szCs w:val="20"/>
                <w:lang w:val="uk-UA"/>
              </w:rPr>
            </w:pPr>
            <w:r w:rsidRPr="006C4532">
              <w:rPr>
                <w:rFonts w:ascii="Times New Roman" w:hAnsi="Times New Roman" w:cs="Times New Roman"/>
                <w:b/>
                <w:sz w:val="20"/>
                <w:szCs w:val="20"/>
                <w:lang w:val="uk-UA"/>
              </w:rPr>
              <w:t xml:space="preserve">тендерної </w:t>
            </w:r>
            <w:r w:rsidR="0039597C" w:rsidRPr="006C4532">
              <w:rPr>
                <w:rFonts w:ascii="Times New Roman" w:hAnsi="Times New Roman" w:cs="Times New Roman"/>
                <w:b/>
                <w:sz w:val="20"/>
                <w:szCs w:val="20"/>
                <w:lang w:val="uk-UA"/>
              </w:rPr>
              <w:t>документації</w:t>
            </w:r>
          </w:p>
        </w:tc>
        <w:tc>
          <w:tcPr>
            <w:tcW w:w="4610" w:type="dxa"/>
          </w:tcPr>
          <w:p w14:paraId="512CF6F0" w14:textId="77777777" w:rsidR="0039597C" w:rsidRPr="006C4532" w:rsidRDefault="0039597C" w:rsidP="0039597C">
            <w:pPr>
              <w:jc w:val="center"/>
              <w:rPr>
                <w:rFonts w:ascii="Times New Roman" w:hAnsi="Times New Roman" w:cs="Times New Roman"/>
                <w:b/>
                <w:sz w:val="20"/>
                <w:szCs w:val="20"/>
                <w:lang w:val="uk-UA"/>
              </w:rPr>
            </w:pPr>
            <w:r w:rsidRPr="006C4532">
              <w:rPr>
                <w:rFonts w:ascii="Times New Roman" w:hAnsi="Times New Roman" w:cs="Times New Roman"/>
                <w:b/>
                <w:sz w:val="20"/>
                <w:szCs w:val="20"/>
                <w:lang w:val="uk-UA"/>
              </w:rPr>
              <w:t>Первина редакція</w:t>
            </w:r>
          </w:p>
        </w:tc>
        <w:tc>
          <w:tcPr>
            <w:tcW w:w="4536" w:type="dxa"/>
          </w:tcPr>
          <w:p w14:paraId="450A249D" w14:textId="77777777" w:rsidR="0039597C" w:rsidRPr="006C4532" w:rsidRDefault="0039597C" w:rsidP="0039597C">
            <w:pPr>
              <w:jc w:val="center"/>
              <w:rPr>
                <w:rFonts w:ascii="Times New Roman" w:hAnsi="Times New Roman" w:cs="Times New Roman"/>
                <w:b/>
                <w:sz w:val="20"/>
                <w:szCs w:val="20"/>
                <w:lang w:val="uk-UA"/>
              </w:rPr>
            </w:pPr>
            <w:r w:rsidRPr="006C4532">
              <w:rPr>
                <w:rFonts w:ascii="Times New Roman" w:hAnsi="Times New Roman" w:cs="Times New Roman"/>
                <w:b/>
                <w:sz w:val="20"/>
                <w:szCs w:val="20"/>
                <w:lang w:val="uk-UA"/>
              </w:rPr>
              <w:t>Нова редакція</w:t>
            </w:r>
          </w:p>
        </w:tc>
      </w:tr>
      <w:tr w:rsidR="004672B5" w:rsidRPr="00D06830" w14:paraId="6028DA7C" w14:textId="77777777" w:rsidTr="00E30708">
        <w:tc>
          <w:tcPr>
            <w:tcW w:w="1486" w:type="dxa"/>
          </w:tcPr>
          <w:p w14:paraId="0730B8CD" w14:textId="094403F4" w:rsidR="004672B5" w:rsidRPr="006C4532" w:rsidRDefault="008F0E6E" w:rsidP="00E30708">
            <w:pPr>
              <w:jc w:val="center"/>
              <w:rPr>
                <w:rFonts w:ascii="Times New Roman" w:hAnsi="Times New Roman" w:cs="Times New Roman"/>
                <w:b/>
                <w:sz w:val="18"/>
                <w:szCs w:val="20"/>
                <w:lang w:val="uk-UA"/>
              </w:rPr>
            </w:pPr>
            <w:proofErr w:type="spellStart"/>
            <w:r w:rsidRPr="006C4532">
              <w:rPr>
                <w:rFonts w:ascii="Times New Roman" w:hAnsi="Times New Roman" w:cs="Times New Roman"/>
                <w:b/>
                <w:sz w:val="18"/>
                <w:szCs w:val="20"/>
                <w:lang w:val="uk-UA"/>
              </w:rPr>
              <w:t>п</w:t>
            </w:r>
            <w:r w:rsidR="00E30708" w:rsidRPr="006C4532">
              <w:rPr>
                <w:rFonts w:ascii="Times New Roman" w:hAnsi="Times New Roman" w:cs="Times New Roman"/>
                <w:b/>
                <w:sz w:val="18"/>
                <w:szCs w:val="20"/>
                <w:lang w:val="uk-UA"/>
              </w:rPr>
              <w:t>п</w:t>
            </w:r>
            <w:proofErr w:type="spellEnd"/>
            <w:r w:rsidRPr="006C4532">
              <w:rPr>
                <w:rFonts w:ascii="Times New Roman" w:hAnsi="Times New Roman" w:cs="Times New Roman"/>
                <w:b/>
                <w:sz w:val="18"/>
                <w:szCs w:val="20"/>
                <w:lang w:val="uk-UA"/>
              </w:rPr>
              <w:t>.</w:t>
            </w:r>
            <w:r w:rsidR="00E30708" w:rsidRPr="006C4532">
              <w:rPr>
                <w:rFonts w:ascii="Times New Roman" w:hAnsi="Times New Roman" w:cs="Times New Roman"/>
                <w:b/>
                <w:sz w:val="18"/>
                <w:szCs w:val="20"/>
                <w:lang w:val="uk-UA"/>
              </w:rPr>
              <w:t xml:space="preserve"> 5 абзацу другого п.</w:t>
            </w:r>
            <w:r w:rsidRPr="006C4532">
              <w:rPr>
                <w:rFonts w:ascii="Times New Roman" w:hAnsi="Times New Roman" w:cs="Times New Roman"/>
                <w:b/>
                <w:sz w:val="18"/>
                <w:szCs w:val="20"/>
                <w:lang w:val="uk-UA"/>
              </w:rPr>
              <w:t xml:space="preserve"> </w:t>
            </w:r>
            <w:r w:rsidR="00E30708" w:rsidRPr="006C4532">
              <w:rPr>
                <w:rFonts w:ascii="Times New Roman" w:hAnsi="Times New Roman" w:cs="Times New Roman"/>
                <w:b/>
                <w:sz w:val="18"/>
                <w:szCs w:val="20"/>
                <w:lang w:val="uk-UA"/>
              </w:rPr>
              <w:t xml:space="preserve">1 Зміст і спосіб подання тендерної пропозиції Розділу 3 </w:t>
            </w:r>
            <w:r w:rsidR="004672B5" w:rsidRPr="006C4532">
              <w:rPr>
                <w:rFonts w:ascii="Times New Roman" w:hAnsi="Times New Roman" w:cs="Times New Roman"/>
                <w:b/>
                <w:sz w:val="18"/>
                <w:szCs w:val="20"/>
                <w:lang w:val="uk-UA"/>
              </w:rPr>
              <w:t>Тендерної документації</w:t>
            </w:r>
          </w:p>
        </w:tc>
        <w:tc>
          <w:tcPr>
            <w:tcW w:w="4610" w:type="dxa"/>
          </w:tcPr>
          <w:p w14:paraId="732E5541" w14:textId="6BC2917F" w:rsidR="004672B5" w:rsidRPr="006C4532" w:rsidRDefault="00E30708" w:rsidP="004672B5">
            <w:pPr>
              <w:jc w:val="both"/>
              <w:rPr>
                <w:rFonts w:ascii="Times New Roman" w:hAnsi="Times New Roman" w:cs="Times New Roman"/>
                <w:sz w:val="22"/>
                <w:szCs w:val="20"/>
                <w:lang w:val="uk-UA"/>
              </w:rPr>
            </w:pPr>
            <w:r w:rsidRPr="006C4532">
              <w:rPr>
                <w:rFonts w:ascii="Times New Roman CYR" w:hAnsi="Times New Roman CYR" w:cs="Times New Roman CYR"/>
                <w:sz w:val="22"/>
                <w:szCs w:val="20"/>
                <w:lang w:val="uk-UA"/>
              </w:rPr>
              <w:t>- довідку у довільній формі про дотримання та забезпечення під час поставки товарів заходів із захисту довкілля згідно діючого законодавства (зокрема тих, що передбачені згідно Закону України «Про відходи») із зазначенням переліку обов’язків суб’єкта господарювання у сфері захисту довкілля, що передбачені вищезазначеного нормативно-правового акту;</w:t>
            </w:r>
          </w:p>
        </w:tc>
        <w:tc>
          <w:tcPr>
            <w:tcW w:w="4536" w:type="dxa"/>
          </w:tcPr>
          <w:p w14:paraId="53899513" w14:textId="5796A767" w:rsidR="004672B5" w:rsidRPr="006C4532" w:rsidRDefault="00E30708" w:rsidP="008F0E6E">
            <w:pPr>
              <w:jc w:val="both"/>
              <w:rPr>
                <w:rFonts w:ascii="Times New Roman" w:hAnsi="Times New Roman" w:cs="Times New Roman"/>
                <w:b/>
                <w:sz w:val="22"/>
                <w:szCs w:val="20"/>
                <w:lang w:val="uk-UA"/>
              </w:rPr>
            </w:pPr>
            <w:r w:rsidRPr="006C4532">
              <w:rPr>
                <w:rFonts w:ascii="Times New Roman CYR" w:hAnsi="Times New Roman CYR" w:cs="Times New Roman CYR"/>
                <w:sz w:val="22"/>
                <w:szCs w:val="20"/>
                <w:lang w:val="uk-UA"/>
              </w:rPr>
              <w:t>- довідку у довільній формі про дотримання та забезпечення під час поставки товарів заходів із захисту довкілля згідно діючого законодавства (зокрема тих, що передбачені згідно Закону України «</w:t>
            </w:r>
            <w:r w:rsidRPr="006C4532">
              <w:rPr>
                <w:rFonts w:ascii="Times New Roman CYR" w:hAnsi="Times New Roman CYR" w:cs="Times New Roman CYR"/>
                <w:sz w:val="22"/>
                <w:szCs w:val="20"/>
                <w:highlight w:val="yellow"/>
                <w:lang w:val="uk-UA"/>
              </w:rPr>
              <w:t>Про охорону навколишнього природного середовища</w:t>
            </w:r>
            <w:r w:rsidRPr="006C4532">
              <w:rPr>
                <w:rFonts w:ascii="Times New Roman CYR" w:hAnsi="Times New Roman CYR" w:cs="Times New Roman CYR"/>
                <w:sz w:val="22"/>
                <w:szCs w:val="20"/>
                <w:lang w:val="uk-UA"/>
              </w:rPr>
              <w:t>») із зазначенням переліку обов’язків суб’єкта господарювання у сфері захисту довкілля, що передбачені вищезазначеного нормативно-правового акту;</w:t>
            </w:r>
          </w:p>
        </w:tc>
      </w:tr>
      <w:tr w:rsidR="00E30708" w:rsidRPr="00D06830" w14:paraId="7B1F3019" w14:textId="77777777" w:rsidTr="00E30708">
        <w:tc>
          <w:tcPr>
            <w:tcW w:w="1486" w:type="dxa"/>
          </w:tcPr>
          <w:p w14:paraId="150089D3" w14:textId="77777777" w:rsidR="00E30708" w:rsidRPr="006C4532" w:rsidRDefault="00E30708" w:rsidP="00E30708">
            <w:pPr>
              <w:jc w:val="center"/>
              <w:rPr>
                <w:rFonts w:ascii="Times New Roman" w:hAnsi="Times New Roman" w:cs="Times New Roman"/>
                <w:b/>
                <w:sz w:val="18"/>
                <w:szCs w:val="20"/>
                <w:lang w:val="uk-UA"/>
              </w:rPr>
            </w:pPr>
            <w:r w:rsidRPr="006C4532">
              <w:rPr>
                <w:rFonts w:ascii="Times New Roman" w:hAnsi="Times New Roman" w:cs="Times New Roman"/>
                <w:b/>
                <w:sz w:val="18"/>
                <w:szCs w:val="20"/>
                <w:lang w:val="uk-UA"/>
              </w:rPr>
              <w:t>п. 2 Забезпечення тендерної пропозиції  Розділу 3 Тендерної документації</w:t>
            </w:r>
          </w:p>
          <w:p w14:paraId="392FAC81" w14:textId="60BEDBBB" w:rsidR="00E30708" w:rsidRPr="006C4532" w:rsidRDefault="00E30708" w:rsidP="00E30708">
            <w:pPr>
              <w:jc w:val="center"/>
              <w:rPr>
                <w:rFonts w:ascii="Times New Roman" w:hAnsi="Times New Roman" w:cs="Times New Roman"/>
                <w:b/>
                <w:sz w:val="18"/>
                <w:szCs w:val="20"/>
                <w:lang w:val="uk-UA"/>
              </w:rPr>
            </w:pPr>
          </w:p>
        </w:tc>
        <w:tc>
          <w:tcPr>
            <w:tcW w:w="4610" w:type="dxa"/>
          </w:tcPr>
          <w:p w14:paraId="74F99D10" w14:textId="31290B9D" w:rsidR="00E30708" w:rsidRPr="006C4532" w:rsidRDefault="00E30708" w:rsidP="004672B5">
            <w:pPr>
              <w:jc w:val="both"/>
              <w:rPr>
                <w:rFonts w:ascii="Times New Roman CYR" w:hAnsi="Times New Roman CYR" w:cs="Times New Roman CYR"/>
                <w:sz w:val="22"/>
                <w:szCs w:val="20"/>
                <w:lang w:val="uk-UA"/>
              </w:rPr>
            </w:pPr>
            <w:r w:rsidRPr="006C4532">
              <w:rPr>
                <w:rFonts w:ascii="Times New Roman" w:eastAsia="Times New Roman" w:hAnsi="Times New Roman" w:cs="Times New Roman"/>
                <w:sz w:val="22"/>
                <w:lang w:val="uk-UA"/>
              </w:rPr>
              <w:t>Не вимагається.</w:t>
            </w:r>
          </w:p>
        </w:tc>
        <w:tc>
          <w:tcPr>
            <w:tcW w:w="4536" w:type="dxa"/>
          </w:tcPr>
          <w:p w14:paraId="025A2AF3" w14:textId="77777777" w:rsidR="005A294D" w:rsidRPr="006C4532" w:rsidRDefault="005A294D" w:rsidP="005A294D">
            <w:pPr>
              <w:shd w:val="clear" w:color="auto" w:fill="FFFFFF"/>
              <w:jc w:val="both"/>
              <w:rPr>
                <w:rFonts w:ascii="Times New Roman" w:eastAsia="Times New Roman" w:hAnsi="Times New Roman" w:cs="Times New Roman"/>
                <w:strike/>
                <w:sz w:val="22"/>
                <w:szCs w:val="22"/>
                <w:highlight w:val="yellow"/>
                <w:lang w:val="uk-UA"/>
              </w:rPr>
            </w:pPr>
            <w:r w:rsidRPr="006C4532">
              <w:rPr>
                <w:rFonts w:ascii="Times New Roman" w:eastAsia="Times New Roman" w:hAnsi="Times New Roman" w:cs="Times New Roman"/>
                <w:sz w:val="22"/>
                <w:szCs w:val="22"/>
                <w:highlight w:val="yellow"/>
                <w:lang w:val="uk-UA"/>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582E59FC" w14:textId="77777777" w:rsidR="005A294D" w:rsidRPr="006C4532" w:rsidRDefault="005A294D" w:rsidP="005A294D">
            <w:pPr>
              <w:shd w:val="clear" w:color="auto" w:fill="FFFFFF"/>
              <w:jc w:val="both"/>
              <w:rPr>
                <w:rFonts w:ascii="Times New Roman" w:eastAsia="Times New Roman" w:hAnsi="Times New Roman" w:cs="Times New Roman"/>
                <w:strike/>
                <w:sz w:val="22"/>
                <w:szCs w:val="22"/>
                <w:highlight w:val="yellow"/>
                <w:lang w:val="uk-UA"/>
              </w:rPr>
            </w:pPr>
            <w:r w:rsidRPr="006C4532">
              <w:rPr>
                <w:rFonts w:ascii="Times New Roman" w:eastAsia="Times New Roman" w:hAnsi="Times New Roman" w:cs="Times New Roman"/>
                <w:sz w:val="22"/>
                <w:szCs w:val="22"/>
                <w:highlight w:val="yellow"/>
                <w:lang w:val="uk-UA"/>
              </w:rPr>
              <w:t>Гарантія надається за формою, наведеною в Додатку 5 до цієї тендерній документації з урахуванням вимог та умов до забезпечення тендерної пропозиції згідно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Вимоги) та з урахуванням положень Особливостей, а саме: </w:t>
            </w:r>
          </w:p>
          <w:p w14:paraId="053EEAC0" w14:textId="2D7103BE" w:rsidR="005A294D" w:rsidRPr="00D06830"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Розмір забезпечення тендерної </w:t>
            </w:r>
            <w:r w:rsidRPr="00D06830">
              <w:rPr>
                <w:rFonts w:ascii="Times New Roman" w:eastAsia="Times New Roman" w:hAnsi="Times New Roman" w:cs="Times New Roman"/>
                <w:sz w:val="22"/>
                <w:szCs w:val="22"/>
                <w:highlight w:val="yellow"/>
                <w:lang w:val="uk-UA"/>
              </w:rPr>
              <w:t xml:space="preserve">пропозиції: </w:t>
            </w:r>
            <w:r w:rsidR="00D06830" w:rsidRPr="00D06830">
              <w:rPr>
                <w:rFonts w:ascii="Times New Roman" w:eastAsia="Times New Roman" w:hAnsi="Times New Roman" w:cs="Times New Roman"/>
                <w:sz w:val="22"/>
                <w:szCs w:val="22"/>
                <w:highlight w:val="yellow"/>
                <w:lang w:val="uk-UA"/>
              </w:rPr>
              <w:t>27</w:t>
            </w:r>
            <w:r w:rsidRPr="00D06830">
              <w:rPr>
                <w:rFonts w:ascii="Times New Roman" w:eastAsia="Times New Roman" w:hAnsi="Times New Roman" w:cs="Times New Roman"/>
                <w:sz w:val="22"/>
                <w:szCs w:val="22"/>
                <w:highlight w:val="yellow"/>
                <w:lang w:val="uk-UA"/>
              </w:rPr>
              <w:t xml:space="preserve"> 000,00 грн. (</w:t>
            </w:r>
            <w:r w:rsidR="00D06830" w:rsidRPr="00D06830">
              <w:rPr>
                <w:rFonts w:ascii="Times New Roman" w:eastAsia="Times New Roman" w:hAnsi="Times New Roman" w:cs="Times New Roman"/>
                <w:sz w:val="22"/>
                <w:szCs w:val="22"/>
                <w:highlight w:val="yellow"/>
                <w:lang w:val="uk-UA"/>
              </w:rPr>
              <w:t>двадцять сім</w:t>
            </w:r>
            <w:r w:rsidRPr="00D06830">
              <w:rPr>
                <w:rFonts w:ascii="Times New Roman" w:eastAsia="Times New Roman" w:hAnsi="Times New Roman" w:cs="Times New Roman"/>
                <w:sz w:val="22"/>
                <w:szCs w:val="22"/>
                <w:highlight w:val="yellow"/>
                <w:lang w:val="uk-UA"/>
              </w:rPr>
              <w:t xml:space="preserve"> тисяч гривень нуль копійок).</w:t>
            </w:r>
          </w:p>
          <w:p w14:paraId="59C075D4"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Вид забезпечення тендерної пропозиції: електронна</w:t>
            </w:r>
            <w:r w:rsidRPr="006C4532">
              <w:rPr>
                <w:rFonts w:ascii="Times New Roman" w:eastAsia="Times New Roman" w:hAnsi="Times New Roman" w:cs="Times New Roman"/>
                <w:color w:val="454545"/>
                <w:sz w:val="22"/>
                <w:szCs w:val="22"/>
                <w:highlight w:val="yellow"/>
                <w:lang w:val="uk-UA"/>
              </w:rPr>
              <w:t xml:space="preserve"> </w:t>
            </w:r>
            <w:r w:rsidRPr="006C4532">
              <w:rPr>
                <w:rFonts w:ascii="Times New Roman" w:eastAsia="Times New Roman" w:hAnsi="Times New Roman" w:cs="Times New Roman"/>
                <w:sz w:val="22"/>
                <w:szCs w:val="22"/>
                <w:highlight w:val="yellow"/>
                <w:lang w:val="uk-UA"/>
              </w:rPr>
              <w:t>банківська гарантія.</w:t>
            </w:r>
          </w:p>
          <w:p w14:paraId="47753B0E"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Строк дії забезпечення  тендерної пропозиції учасника (банківської гарантії) має дорівнювати або перевищувати 90 (дев’яносто) робочих днів із дати кінцевого строку подання тендерних пропозицій.</w:t>
            </w:r>
          </w:p>
          <w:p w14:paraId="77675748"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528C6522"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2. Терміни, зазначені у Вимогах і Формі, вживаються у значеннях, визначених </w:t>
            </w:r>
            <w:r w:rsidRPr="006C4532">
              <w:rPr>
                <w:rFonts w:ascii="Times New Roman" w:eastAsia="Times New Roman" w:hAnsi="Times New Roman" w:cs="Times New Roman"/>
                <w:sz w:val="22"/>
                <w:szCs w:val="22"/>
                <w:highlight w:val="yellow"/>
                <w:lang w:val="uk-UA"/>
              </w:rPr>
              <w:lastRenderedPageBreak/>
              <w:t>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6F10AC7B"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3. Реквізити гарантії, визначені у Формі, є обов'язковими для складання гарантії. </w:t>
            </w:r>
          </w:p>
          <w:p w14:paraId="6DB5D06F"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4. У реквізитах гарантії: </w:t>
            </w:r>
          </w:p>
          <w:p w14:paraId="730A25F0"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1) щодо повного найменування гаранта зазначається інформація: </w:t>
            </w:r>
          </w:p>
          <w:p w14:paraId="675E4C84"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27AA4630"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код банку (у разі наявності); </w:t>
            </w:r>
          </w:p>
          <w:p w14:paraId="4A5357EF"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адреса місцезнаходження; поштова адреса для листування; </w:t>
            </w:r>
          </w:p>
          <w:p w14:paraId="7A614403"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адреса електронної пошти гаранта, на яку отримуються документи; </w:t>
            </w:r>
          </w:p>
          <w:p w14:paraId="007B1F47"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SWIFT-адреса гаранта; </w:t>
            </w:r>
          </w:p>
          <w:p w14:paraId="0E6BA7C2"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2) щодо повного найменування принципала, яким є учасник процедури закупівлі, зазначається інформація: </w:t>
            </w:r>
          </w:p>
          <w:p w14:paraId="530F8376"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повне найменування — для юридичної особи; </w:t>
            </w:r>
          </w:p>
          <w:p w14:paraId="15331DE0"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прізвище, ім'я та по батькові (у разі наявності) — для фізичної особи; </w:t>
            </w:r>
          </w:p>
          <w:p w14:paraId="650DC7A1"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5CB0609A"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реєстраційний номер облікової картки платника податків — для принципала фізичної особи — резидента (у разі наявності); </w:t>
            </w:r>
          </w:p>
          <w:p w14:paraId="7576CA1C"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69349007"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адреса місцезнаходження; </w:t>
            </w:r>
          </w:p>
          <w:p w14:paraId="20864020"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3) щодо повного найменування </w:t>
            </w:r>
            <w:proofErr w:type="spellStart"/>
            <w:r w:rsidRPr="006C4532">
              <w:rPr>
                <w:rFonts w:ascii="Times New Roman" w:eastAsia="Times New Roman" w:hAnsi="Times New Roman" w:cs="Times New Roman"/>
                <w:sz w:val="22"/>
                <w:szCs w:val="22"/>
                <w:highlight w:val="yellow"/>
                <w:lang w:val="uk-UA"/>
              </w:rPr>
              <w:t>бенефіціара</w:t>
            </w:r>
            <w:proofErr w:type="spellEnd"/>
            <w:r w:rsidRPr="006C4532">
              <w:rPr>
                <w:rFonts w:ascii="Times New Roman" w:eastAsia="Times New Roman" w:hAnsi="Times New Roman" w:cs="Times New Roman"/>
                <w:sz w:val="22"/>
                <w:szCs w:val="22"/>
                <w:highlight w:val="yellow"/>
                <w:lang w:val="uk-UA"/>
              </w:rPr>
              <w:t>, яким є замовник, зазначається інформація: </w:t>
            </w:r>
          </w:p>
          <w:p w14:paraId="5956CE76"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 повне найменування юридичної особи; ідентифікаційний код у Єдиному державному реєстрі юридичних осіб, </w:t>
            </w:r>
            <w:r w:rsidRPr="006C4532">
              <w:rPr>
                <w:rFonts w:ascii="Times New Roman" w:eastAsia="Times New Roman" w:hAnsi="Times New Roman" w:cs="Times New Roman"/>
                <w:sz w:val="22"/>
                <w:szCs w:val="22"/>
                <w:highlight w:val="yellow"/>
                <w:lang w:val="uk-UA"/>
              </w:rPr>
              <w:lastRenderedPageBreak/>
              <w:t>фізичних осіб — підприємців та громадських формувань, його категорія; </w:t>
            </w:r>
          </w:p>
          <w:p w14:paraId="723B5F9A"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адреса місцезнаходження; </w:t>
            </w:r>
          </w:p>
          <w:p w14:paraId="6ACF95DF"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4) сума гарантії зазначається цифрами і словами, назва валюти — словами; </w:t>
            </w:r>
          </w:p>
          <w:p w14:paraId="38B580D3"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261BFF63"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6) датою початку строку дії гарантії зазначається дата видачі гарантії або дата набрання нею чинності; </w:t>
            </w:r>
          </w:p>
          <w:p w14:paraId="1B213F8D"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7) зазначається дата закінчення строку дії гарантії, якщо жодна з подій, передбачених у пункті 4 форми, не настане; </w:t>
            </w:r>
          </w:p>
          <w:p w14:paraId="658FBBBE"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6C4532">
              <w:rPr>
                <w:rFonts w:ascii="Times New Roman" w:eastAsia="Times New Roman" w:hAnsi="Times New Roman" w:cs="Times New Roman"/>
                <w:sz w:val="22"/>
                <w:szCs w:val="22"/>
                <w:highlight w:val="yellow"/>
                <w:lang w:val="uk-UA"/>
              </w:rPr>
              <w:t>закупівель</w:t>
            </w:r>
            <w:proofErr w:type="spellEnd"/>
            <w:r w:rsidRPr="006C4532">
              <w:rPr>
                <w:rFonts w:ascii="Times New Roman" w:eastAsia="Times New Roman" w:hAnsi="Times New Roman" w:cs="Times New Roman"/>
                <w:sz w:val="22"/>
                <w:szCs w:val="22"/>
                <w:highlight w:val="yellow"/>
                <w:lang w:val="uk-UA"/>
              </w:rPr>
              <w:t xml:space="preserve">, у форматі UA-XXXX-XX-XX-XXXXXX-X та назва і </w:t>
            </w:r>
            <w:proofErr w:type="spellStart"/>
            <w:r w:rsidRPr="006C4532">
              <w:rPr>
                <w:rFonts w:ascii="Times New Roman" w:eastAsia="Times New Roman" w:hAnsi="Times New Roman" w:cs="Times New Roman"/>
                <w:sz w:val="22"/>
                <w:szCs w:val="22"/>
                <w:highlight w:val="yellow"/>
                <w:lang w:val="uk-UA"/>
              </w:rPr>
              <w:t>вебсайт</w:t>
            </w:r>
            <w:proofErr w:type="spellEnd"/>
            <w:r w:rsidRPr="006C4532">
              <w:rPr>
                <w:rFonts w:ascii="Times New Roman" w:eastAsia="Times New Roman" w:hAnsi="Times New Roman" w:cs="Times New Roman"/>
                <w:sz w:val="22"/>
                <w:szCs w:val="22"/>
                <w:highlight w:val="yellow"/>
                <w:lang w:val="uk-UA"/>
              </w:rPr>
              <w:t xml:space="preserve"> інформаційно-телекомунікаційної системи «PROZORRO»; </w:t>
            </w:r>
          </w:p>
          <w:p w14:paraId="562258B7"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9) в інформації щодо тендерної документації зазначаються: </w:t>
            </w:r>
          </w:p>
          <w:p w14:paraId="7EB24582"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дата рішення замовника, яким затверджена тендерна документація; </w:t>
            </w:r>
          </w:p>
          <w:p w14:paraId="1821950C"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назва предмета закупівлі / частини предмета закупівлі (лота) згідно з оголошенням про проведення конкурентної процедури закупівлі; </w:t>
            </w:r>
          </w:p>
          <w:p w14:paraId="5B5FBAE9"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10) строк сплати коштів за гарантією зазначається в робочих або банківських днях; </w:t>
            </w:r>
          </w:p>
          <w:p w14:paraId="0292566A"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5. Гарантія та договір, який укладається між гарантом та принципалом, не може містити додаткових умов щодо: </w:t>
            </w:r>
          </w:p>
          <w:p w14:paraId="4309C4D9"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68D19658"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вимог надання третіми особами листів або документів, що підтверджують факт настання гарантійного випадку; </w:t>
            </w:r>
          </w:p>
          <w:p w14:paraId="4B8192D2"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можливості часткової сплати суми гарантії. </w:t>
            </w:r>
          </w:p>
          <w:p w14:paraId="44EA6EDC"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6. Гарантія, яка складається на паперовому носії, підписується уповноваженою(</w:t>
            </w:r>
            <w:proofErr w:type="spellStart"/>
            <w:r w:rsidRPr="006C4532">
              <w:rPr>
                <w:rFonts w:ascii="Times New Roman" w:eastAsia="Times New Roman" w:hAnsi="Times New Roman" w:cs="Times New Roman"/>
                <w:sz w:val="22"/>
                <w:szCs w:val="22"/>
                <w:highlight w:val="yellow"/>
                <w:lang w:val="uk-UA"/>
              </w:rPr>
              <w:t>ими</w:t>
            </w:r>
            <w:proofErr w:type="spellEnd"/>
            <w:r w:rsidRPr="006C4532">
              <w:rPr>
                <w:rFonts w:ascii="Times New Roman" w:eastAsia="Times New Roman" w:hAnsi="Times New Roman" w:cs="Times New Roman"/>
                <w:sz w:val="22"/>
                <w:szCs w:val="22"/>
                <w:highlight w:val="yellow"/>
                <w:lang w:val="uk-UA"/>
              </w:rPr>
              <w:t>) особою(</w:t>
            </w:r>
            <w:proofErr w:type="spellStart"/>
            <w:r w:rsidRPr="006C4532">
              <w:rPr>
                <w:rFonts w:ascii="Times New Roman" w:eastAsia="Times New Roman" w:hAnsi="Times New Roman" w:cs="Times New Roman"/>
                <w:sz w:val="22"/>
                <w:szCs w:val="22"/>
                <w:highlight w:val="yellow"/>
                <w:lang w:val="uk-UA"/>
              </w:rPr>
              <w:t>ами</w:t>
            </w:r>
            <w:proofErr w:type="spellEnd"/>
            <w:r w:rsidRPr="006C4532">
              <w:rPr>
                <w:rFonts w:ascii="Times New Roman" w:eastAsia="Times New Roman" w:hAnsi="Times New Roman" w:cs="Times New Roman"/>
                <w:sz w:val="22"/>
                <w:szCs w:val="22"/>
                <w:highlight w:val="yellow"/>
                <w:lang w:val="uk-UA"/>
              </w:rPr>
              <w:t>) гаранта та скріплюється печатками (у разі наявності).</w:t>
            </w:r>
          </w:p>
          <w:p w14:paraId="70ABCF53"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lastRenderedPageBreak/>
              <w:t>7. Гарантія, яка надається в електронній формі, підписується шляхом накладання кваліфікованого(</w:t>
            </w:r>
            <w:proofErr w:type="spellStart"/>
            <w:r w:rsidRPr="006C4532">
              <w:rPr>
                <w:rFonts w:ascii="Times New Roman" w:eastAsia="Times New Roman" w:hAnsi="Times New Roman" w:cs="Times New Roman"/>
                <w:sz w:val="22"/>
                <w:szCs w:val="22"/>
                <w:highlight w:val="yellow"/>
                <w:lang w:val="uk-UA"/>
              </w:rPr>
              <w:t>их</w:t>
            </w:r>
            <w:proofErr w:type="spellEnd"/>
            <w:r w:rsidRPr="006C4532">
              <w:rPr>
                <w:rFonts w:ascii="Times New Roman" w:eastAsia="Times New Roman" w:hAnsi="Times New Roman" w:cs="Times New Roman"/>
                <w:sz w:val="22"/>
                <w:szCs w:val="22"/>
                <w:highlight w:val="yellow"/>
                <w:lang w:val="uk-UA"/>
              </w:rPr>
              <w:t>) електронного(</w:t>
            </w:r>
            <w:proofErr w:type="spellStart"/>
            <w:r w:rsidRPr="006C4532">
              <w:rPr>
                <w:rFonts w:ascii="Times New Roman" w:eastAsia="Times New Roman" w:hAnsi="Times New Roman" w:cs="Times New Roman"/>
                <w:sz w:val="22"/>
                <w:szCs w:val="22"/>
                <w:highlight w:val="yellow"/>
                <w:lang w:val="uk-UA"/>
              </w:rPr>
              <w:t>их</w:t>
            </w:r>
            <w:proofErr w:type="spellEnd"/>
            <w:r w:rsidRPr="006C4532">
              <w:rPr>
                <w:rFonts w:ascii="Times New Roman" w:eastAsia="Times New Roman" w:hAnsi="Times New Roman" w:cs="Times New Roman"/>
                <w:sz w:val="22"/>
                <w:szCs w:val="22"/>
                <w:highlight w:val="yellow"/>
                <w:lang w:val="uk-UA"/>
              </w:rPr>
              <w:t>) підпису(</w:t>
            </w:r>
            <w:proofErr w:type="spellStart"/>
            <w:r w:rsidRPr="006C4532">
              <w:rPr>
                <w:rFonts w:ascii="Times New Roman" w:eastAsia="Times New Roman" w:hAnsi="Times New Roman" w:cs="Times New Roman"/>
                <w:sz w:val="22"/>
                <w:szCs w:val="22"/>
                <w:highlight w:val="yellow"/>
                <w:lang w:val="uk-UA"/>
              </w:rPr>
              <w:t>ів</w:t>
            </w:r>
            <w:proofErr w:type="spellEnd"/>
            <w:r w:rsidRPr="006C4532">
              <w:rPr>
                <w:rFonts w:ascii="Times New Roman" w:eastAsia="Times New Roman" w:hAnsi="Times New Roman" w:cs="Times New Roman"/>
                <w:sz w:val="22"/>
                <w:szCs w:val="22"/>
                <w:highlight w:val="yellow"/>
                <w:lang w:val="uk-UA"/>
              </w:rPr>
              <w:t>) та кваліфікованої електронної печатки (у разі наявності), що прирівняні до власноручного підпису(</w:t>
            </w:r>
            <w:proofErr w:type="spellStart"/>
            <w:r w:rsidRPr="006C4532">
              <w:rPr>
                <w:rFonts w:ascii="Times New Roman" w:eastAsia="Times New Roman" w:hAnsi="Times New Roman" w:cs="Times New Roman"/>
                <w:sz w:val="22"/>
                <w:szCs w:val="22"/>
                <w:highlight w:val="yellow"/>
                <w:lang w:val="uk-UA"/>
              </w:rPr>
              <w:t>ів</w:t>
            </w:r>
            <w:proofErr w:type="spellEnd"/>
            <w:r w:rsidRPr="006C4532">
              <w:rPr>
                <w:rFonts w:ascii="Times New Roman" w:eastAsia="Times New Roman" w:hAnsi="Times New Roman" w:cs="Times New Roman"/>
                <w:sz w:val="22"/>
                <w:szCs w:val="22"/>
                <w:highlight w:val="yellow"/>
                <w:lang w:val="uk-UA"/>
              </w:rPr>
              <w:t>) уповноваженої(</w:t>
            </w:r>
            <w:proofErr w:type="spellStart"/>
            <w:r w:rsidRPr="006C4532">
              <w:rPr>
                <w:rFonts w:ascii="Times New Roman" w:eastAsia="Times New Roman" w:hAnsi="Times New Roman" w:cs="Times New Roman"/>
                <w:sz w:val="22"/>
                <w:szCs w:val="22"/>
                <w:highlight w:val="yellow"/>
                <w:lang w:val="uk-UA"/>
              </w:rPr>
              <w:t>их</w:t>
            </w:r>
            <w:proofErr w:type="spellEnd"/>
            <w:r w:rsidRPr="006C4532">
              <w:rPr>
                <w:rFonts w:ascii="Times New Roman" w:eastAsia="Times New Roman" w:hAnsi="Times New Roman" w:cs="Times New Roman"/>
                <w:sz w:val="22"/>
                <w:szCs w:val="22"/>
                <w:highlight w:val="yellow"/>
                <w:lang w:val="uk-UA"/>
              </w:rPr>
              <w:t>) особи(</w:t>
            </w:r>
            <w:proofErr w:type="spellStart"/>
            <w:r w:rsidRPr="006C4532">
              <w:rPr>
                <w:rFonts w:ascii="Times New Roman" w:eastAsia="Times New Roman" w:hAnsi="Times New Roman" w:cs="Times New Roman"/>
                <w:sz w:val="22"/>
                <w:szCs w:val="22"/>
                <w:highlight w:val="yellow"/>
                <w:lang w:val="uk-UA"/>
              </w:rPr>
              <w:t>іб</w:t>
            </w:r>
            <w:proofErr w:type="spellEnd"/>
            <w:r w:rsidRPr="006C4532">
              <w:rPr>
                <w:rFonts w:ascii="Times New Roman" w:eastAsia="Times New Roman" w:hAnsi="Times New Roman" w:cs="Times New Roman"/>
                <w:sz w:val="22"/>
                <w:szCs w:val="22"/>
                <w:highlight w:val="yellow"/>
                <w:lang w:val="uk-UA"/>
              </w:rPr>
              <w:t>) гаранта та його печатки відповідно. </w:t>
            </w:r>
          </w:p>
          <w:p w14:paraId="0A3DA874" w14:textId="77777777" w:rsidR="005A294D" w:rsidRPr="006C4532" w:rsidRDefault="005A294D" w:rsidP="005A294D">
            <w:pPr>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7A742302" w14:textId="77777777" w:rsidR="005A294D" w:rsidRPr="006C4532" w:rsidRDefault="005A294D" w:rsidP="005A294D">
            <w:pPr>
              <w:jc w:val="both"/>
              <w:rPr>
                <w:rFonts w:ascii="Times New Roman" w:eastAsia="Times New Roman" w:hAnsi="Times New Roman" w:cs="Times New Roman"/>
                <w:b/>
                <w:i/>
                <w:sz w:val="22"/>
                <w:szCs w:val="22"/>
                <w:lang w:val="uk-UA"/>
              </w:rPr>
            </w:pPr>
            <w:r w:rsidRPr="006C4532">
              <w:rPr>
                <w:rFonts w:ascii="Times New Roman" w:eastAsia="Times New Roman" w:hAnsi="Times New Roman" w:cs="Times New Roman"/>
                <w:b/>
                <w:i/>
                <w:sz w:val="22"/>
                <w:szCs w:val="22"/>
                <w:highlight w:val="yellow"/>
                <w:lang w:val="uk-UA"/>
              </w:rPr>
              <w:t>До уваги учасників інформація для оформлення банківської гарантії:</w:t>
            </w:r>
            <w:r w:rsidRPr="006C4532">
              <w:rPr>
                <w:rFonts w:ascii="Times New Roman" w:eastAsia="Times New Roman" w:hAnsi="Times New Roman" w:cs="Times New Roman"/>
                <w:b/>
                <w:i/>
                <w:sz w:val="22"/>
                <w:szCs w:val="22"/>
                <w:lang w:val="uk-UA"/>
              </w:rPr>
              <w:t> </w:t>
            </w:r>
          </w:p>
          <w:p w14:paraId="546FFEC2" w14:textId="5111B1D4" w:rsidR="005A294D" w:rsidRPr="00D06830" w:rsidRDefault="005A294D" w:rsidP="005A294D">
            <w:pPr>
              <w:ind w:right="120"/>
              <w:jc w:val="both"/>
              <w:rPr>
                <w:rFonts w:ascii="Times New Roman" w:hAnsi="Times New Roman" w:cs="Times New Roman"/>
                <w:sz w:val="22"/>
                <w:szCs w:val="22"/>
                <w:highlight w:val="yellow"/>
                <w:lang w:val="uk-UA"/>
              </w:rPr>
            </w:pPr>
            <w:r w:rsidRPr="00D06830">
              <w:rPr>
                <w:rFonts w:ascii="Times New Roman" w:hAnsi="Times New Roman" w:cs="Times New Roman"/>
                <w:color w:val="000000"/>
                <w:sz w:val="22"/>
                <w:szCs w:val="22"/>
                <w:highlight w:val="yellow"/>
                <w:lang w:val="uk-UA"/>
              </w:rPr>
              <w:t xml:space="preserve">Назва Замовника: </w:t>
            </w:r>
            <w:proofErr w:type="spellStart"/>
            <w:r w:rsidR="00D06830" w:rsidRPr="00D06830">
              <w:rPr>
                <w:rFonts w:ascii="Times New Roman" w:hAnsi="Times New Roman" w:cs="Times New Roman"/>
                <w:color w:val="000000"/>
                <w:sz w:val="22"/>
                <w:szCs w:val="22"/>
                <w:highlight w:val="yellow"/>
                <w:lang w:val="uk-UA"/>
              </w:rPr>
              <w:t>Лиманська</w:t>
            </w:r>
            <w:proofErr w:type="spellEnd"/>
            <w:r w:rsidR="00D06830" w:rsidRPr="00D06830">
              <w:rPr>
                <w:rFonts w:ascii="Times New Roman" w:hAnsi="Times New Roman" w:cs="Times New Roman"/>
                <w:color w:val="000000"/>
                <w:sz w:val="22"/>
                <w:szCs w:val="22"/>
                <w:highlight w:val="yellow"/>
                <w:lang w:val="uk-UA"/>
              </w:rPr>
              <w:t xml:space="preserve"> сільська рада Білгород-Дністровського району Одеської області</w:t>
            </w:r>
          </w:p>
          <w:p w14:paraId="678D3C34" w14:textId="38D19F41" w:rsidR="005A294D" w:rsidRPr="00D06830" w:rsidRDefault="005A294D" w:rsidP="005A294D">
            <w:pPr>
              <w:ind w:right="120"/>
              <w:jc w:val="both"/>
              <w:rPr>
                <w:rFonts w:ascii="Times New Roman" w:hAnsi="Times New Roman" w:cs="Times New Roman"/>
                <w:color w:val="000000"/>
                <w:sz w:val="22"/>
                <w:szCs w:val="22"/>
                <w:highlight w:val="yellow"/>
                <w:lang w:val="uk-UA"/>
              </w:rPr>
            </w:pPr>
            <w:r w:rsidRPr="00D06830">
              <w:rPr>
                <w:rFonts w:ascii="Times New Roman" w:hAnsi="Times New Roman" w:cs="Times New Roman"/>
                <w:color w:val="000000"/>
                <w:sz w:val="22"/>
                <w:szCs w:val="22"/>
                <w:highlight w:val="yellow"/>
                <w:lang w:val="uk-UA"/>
              </w:rPr>
              <w:t>Місцезнаходження Замовника:</w:t>
            </w:r>
            <w:r w:rsidRPr="00D06830">
              <w:rPr>
                <w:rFonts w:ascii="Times New Roman" w:eastAsia="Times New Roman" w:hAnsi="Times New Roman" w:cs="Times New Roman"/>
                <w:sz w:val="22"/>
                <w:szCs w:val="22"/>
                <w:highlight w:val="yellow"/>
                <w:lang w:val="uk-UA"/>
              </w:rPr>
              <w:t xml:space="preserve"> </w:t>
            </w:r>
            <w:r w:rsidR="00D06830" w:rsidRPr="00D06830">
              <w:rPr>
                <w:rFonts w:ascii="Times New Roman" w:hAnsi="Times New Roman" w:cs="Times New Roman"/>
                <w:sz w:val="22"/>
                <w:szCs w:val="22"/>
                <w:highlight w:val="yellow"/>
                <w:lang w:val="uk-UA"/>
              </w:rPr>
              <w:t xml:space="preserve">Україна, 68141, Одеська область, Білгород-Дністровський район, село Лиман, </w:t>
            </w:r>
            <w:proofErr w:type="spellStart"/>
            <w:r w:rsidR="00D06830" w:rsidRPr="00D06830">
              <w:rPr>
                <w:rFonts w:ascii="Times New Roman" w:hAnsi="Times New Roman" w:cs="Times New Roman"/>
                <w:sz w:val="22"/>
                <w:szCs w:val="22"/>
                <w:highlight w:val="yellow"/>
                <w:lang w:val="uk-UA"/>
              </w:rPr>
              <w:t>Лиманська</w:t>
            </w:r>
            <w:proofErr w:type="spellEnd"/>
            <w:r w:rsidR="00D06830" w:rsidRPr="00D06830">
              <w:rPr>
                <w:rFonts w:ascii="Times New Roman" w:hAnsi="Times New Roman" w:cs="Times New Roman"/>
                <w:sz w:val="22"/>
                <w:szCs w:val="22"/>
                <w:highlight w:val="yellow"/>
                <w:lang w:val="uk-UA"/>
              </w:rPr>
              <w:t xml:space="preserve"> ТГ, вулиця Героїв України, будинок 47А</w:t>
            </w:r>
          </w:p>
          <w:p w14:paraId="304B8E07" w14:textId="0E72F8D3" w:rsidR="005A294D" w:rsidRPr="006C4532" w:rsidRDefault="005A294D" w:rsidP="005A294D">
            <w:pPr>
              <w:ind w:right="120"/>
              <w:jc w:val="both"/>
              <w:rPr>
                <w:rFonts w:ascii="Times New Roman" w:hAnsi="Times New Roman" w:cs="Times New Roman"/>
                <w:color w:val="000000"/>
                <w:sz w:val="22"/>
                <w:szCs w:val="22"/>
                <w:lang w:val="uk-UA"/>
              </w:rPr>
            </w:pPr>
            <w:r w:rsidRPr="00D06830">
              <w:rPr>
                <w:rFonts w:ascii="Times New Roman" w:hAnsi="Times New Roman" w:cs="Times New Roman"/>
                <w:color w:val="000000"/>
                <w:sz w:val="22"/>
                <w:szCs w:val="22"/>
                <w:highlight w:val="yellow"/>
                <w:lang w:val="uk-UA"/>
              </w:rPr>
              <w:t xml:space="preserve">Код ЄДРПОУ: </w:t>
            </w:r>
            <w:r w:rsidR="00D06830" w:rsidRPr="00D06830">
              <w:rPr>
                <w:rFonts w:ascii="Times New Roman" w:eastAsia="Times New Roman" w:hAnsi="Times New Roman" w:cs="Times New Roman"/>
                <w:sz w:val="22"/>
                <w:szCs w:val="22"/>
                <w:highlight w:val="yellow"/>
                <w:lang w:val="uk-UA"/>
              </w:rPr>
              <w:t>04379404</w:t>
            </w:r>
          </w:p>
          <w:p w14:paraId="270B649A" w14:textId="5D94750A" w:rsidR="00E30708" w:rsidRPr="006C4532" w:rsidRDefault="005A294D" w:rsidP="005A294D">
            <w:pPr>
              <w:jc w:val="both"/>
              <w:rPr>
                <w:rFonts w:ascii="Times New Roman CYR" w:hAnsi="Times New Roman CYR" w:cs="Times New Roman CYR"/>
                <w:sz w:val="22"/>
                <w:szCs w:val="22"/>
                <w:lang w:val="uk-UA"/>
              </w:rPr>
            </w:pPr>
            <w:r w:rsidRPr="006C4532">
              <w:rPr>
                <w:rFonts w:ascii="Times New Roman" w:eastAsia="Times New Roman" w:hAnsi="Times New Roman" w:cs="Times New Roman"/>
                <w:bCs/>
                <w:sz w:val="22"/>
                <w:szCs w:val="22"/>
                <w:highlight w:val="yellow"/>
                <w:lang w:val="uk-UA"/>
              </w:rPr>
              <w:t>Банківська гарантія повинна бути оформлена з грошовим покриттям та на підтвердження наявності грошового покриття надається в складі тендерної пропозиції довідка з банку-гаранта про наявність коштів на рахунку принципала для грошового забезпечення (покриття) гарантії або на інших відповідних рахунках банку – гаранта.</w:t>
            </w:r>
          </w:p>
        </w:tc>
      </w:tr>
      <w:tr w:rsidR="00E30708" w:rsidRPr="00D06830" w14:paraId="16999D2C" w14:textId="77777777" w:rsidTr="00E30708">
        <w:tc>
          <w:tcPr>
            <w:tcW w:w="1486" w:type="dxa"/>
          </w:tcPr>
          <w:p w14:paraId="51892EAA" w14:textId="07449F08" w:rsidR="00E30708" w:rsidRPr="006C4532" w:rsidRDefault="00E30708" w:rsidP="00E30708">
            <w:pPr>
              <w:jc w:val="center"/>
              <w:rPr>
                <w:rFonts w:ascii="Times New Roman" w:hAnsi="Times New Roman" w:cs="Times New Roman"/>
                <w:b/>
                <w:sz w:val="18"/>
                <w:szCs w:val="20"/>
                <w:lang w:val="uk-UA"/>
              </w:rPr>
            </w:pPr>
            <w:r w:rsidRPr="006C4532">
              <w:rPr>
                <w:rFonts w:ascii="Times New Roman" w:hAnsi="Times New Roman" w:cs="Times New Roman"/>
                <w:b/>
                <w:sz w:val="18"/>
                <w:szCs w:val="20"/>
                <w:lang w:val="uk-UA"/>
              </w:rPr>
              <w:lastRenderedPageBreak/>
              <w:t>п. 3 Умови повернення чи неповернення забезпечення тендерної пропозиції Розділу 3 Тендерної документації</w:t>
            </w:r>
          </w:p>
          <w:p w14:paraId="6E3A0B70" w14:textId="77777777" w:rsidR="00E30708" w:rsidRPr="006C4532" w:rsidRDefault="00E30708" w:rsidP="00E30708">
            <w:pPr>
              <w:jc w:val="center"/>
              <w:rPr>
                <w:rFonts w:ascii="Times New Roman" w:hAnsi="Times New Roman" w:cs="Times New Roman"/>
                <w:b/>
                <w:sz w:val="18"/>
                <w:szCs w:val="20"/>
                <w:lang w:val="uk-UA"/>
              </w:rPr>
            </w:pPr>
          </w:p>
        </w:tc>
        <w:tc>
          <w:tcPr>
            <w:tcW w:w="4610" w:type="dxa"/>
          </w:tcPr>
          <w:p w14:paraId="43D5B455" w14:textId="79AF1869" w:rsidR="00E30708" w:rsidRPr="006C4532" w:rsidRDefault="00E30708" w:rsidP="004672B5">
            <w:pPr>
              <w:jc w:val="both"/>
              <w:rPr>
                <w:rFonts w:ascii="Times New Roman CYR" w:hAnsi="Times New Roman CYR" w:cs="Times New Roman CYR"/>
                <w:sz w:val="22"/>
                <w:szCs w:val="20"/>
                <w:lang w:val="uk-UA"/>
              </w:rPr>
            </w:pPr>
            <w:r w:rsidRPr="006C4532">
              <w:rPr>
                <w:rFonts w:ascii="Times New Roman" w:eastAsia="Times New Roman" w:hAnsi="Times New Roman" w:cs="Times New Roman"/>
                <w:sz w:val="22"/>
                <w:lang w:val="uk-UA"/>
              </w:rPr>
              <w:t>Не передбачається.</w:t>
            </w:r>
          </w:p>
        </w:tc>
        <w:tc>
          <w:tcPr>
            <w:tcW w:w="4536" w:type="dxa"/>
          </w:tcPr>
          <w:p w14:paraId="31EB9BDD" w14:textId="77777777" w:rsidR="005A294D" w:rsidRPr="006C4532" w:rsidRDefault="005A294D" w:rsidP="005A294D">
            <w:pPr>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Забезпечення тендерної пропозиції </w:t>
            </w:r>
            <w:r w:rsidRPr="006C4532">
              <w:rPr>
                <w:rFonts w:ascii="Times New Roman" w:eastAsia="Times New Roman" w:hAnsi="Times New Roman" w:cs="Times New Roman"/>
                <w:b/>
                <w:i/>
                <w:sz w:val="22"/>
                <w:szCs w:val="22"/>
                <w:highlight w:val="yellow"/>
                <w:lang w:val="uk-UA"/>
              </w:rPr>
              <w:t xml:space="preserve">повертається </w:t>
            </w:r>
            <w:r w:rsidRPr="006C4532">
              <w:rPr>
                <w:rFonts w:ascii="Times New Roman" w:eastAsia="Times New Roman" w:hAnsi="Times New Roman" w:cs="Times New Roman"/>
                <w:sz w:val="22"/>
                <w:szCs w:val="22"/>
                <w:highlight w:val="yellow"/>
                <w:lang w:val="uk-UA"/>
              </w:rPr>
              <w:t>учаснику у разі:</w:t>
            </w:r>
          </w:p>
          <w:p w14:paraId="36C7445A" w14:textId="77777777" w:rsidR="005A294D" w:rsidRPr="006C4532" w:rsidRDefault="005A294D" w:rsidP="005A294D">
            <w:pPr>
              <w:numPr>
                <w:ilvl w:val="0"/>
                <w:numId w:val="8"/>
              </w:numPr>
              <w:shd w:val="clear" w:color="auto" w:fill="FFFFFF"/>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закінчення строку дії тендерної пропозиції та забезпечення тендерної пропозиції, зазначеного в тендерній документації;</w:t>
            </w:r>
          </w:p>
          <w:p w14:paraId="15960D16" w14:textId="77777777" w:rsidR="005A294D" w:rsidRPr="006C4532" w:rsidRDefault="005A294D" w:rsidP="005A294D">
            <w:pPr>
              <w:numPr>
                <w:ilvl w:val="0"/>
                <w:numId w:val="8"/>
              </w:numPr>
              <w:shd w:val="clear" w:color="auto" w:fill="FFFFFF"/>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укладення договору про закупівлю з учасником, який став переможцем процедури закупівлі;</w:t>
            </w:r>
          </w:p>
          <w:p w14:paraId="3880B70C" w14:textId="77777777" w:rsidR="005A294D" w:rsidRPr="006C4532" w:rsidRDefault="005A294D" w:rsidP="005A294D">
            <w:pPr>
              <w:numPr>
                <w:ilvl w:val="0"/>
                <w:numId w:val="8"/>
              </w:numPr>
              <w:shd w:val="clear" w:color="auto" w:fill="FFFFFF"/>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відкликання тендерної пропозиції до закінчення строку її подання;</w:t>
            </w:r>
          </w:p>
          <w:p w14:paraId="3CFB07B9" w14:textId="77777777" w:rsidR="005A294D" w:rsidRPr="006C4532" w:rsidRDefault="005A294D" w:rsidP="005A294D">
            <w:pPr>
              <w:numPr>
                <w:ilvl w:val="0"/>
                <w:numId w:val="8"/>
              </w:numPr>
              <w:shd w:val="clear" w:color="auto" w:fill="FFFFFF"/>
              <w:spacing w:after="160"/>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закінчення тендеру в разі </w:t>
            </w:r>
            <w:proofErr w:type="spellStart"/>
            <w:r w:rsidRPr="006C4532">
              <w:rPr>
                <w:rFonts w:ascii="Times New Roman" w:eastAsia="Times New Roman" w:hAnsi="Times New Roman" w:cs="Times New Roman"/>
                <w:sz w:val="22"/>
                <w:szCs w:val="22"/>
                <w:highlight w:val="yellow"/>
                <w:lang w:val="uk-UA"/>
              </w:rPr>
              <w:t>неукладення</w:t>
            </w:r>
            <w:proofErr w:type="spellEnd"/>
            <w:r w:rsidRPr="006C4532">
              <w:rPr>
                <w:rFonts w:ascii="Times New Roman" w:eastAsia="Times New Roman" w:hAnsi="Times New Roman" w:cs="Times New Roman"/>
                <w:sz w:val="22"/>
                <w:szCs w:val="22"/>
                <w:highlight w:val="yellow"/>
                <w:lang w:val="uk-UA"/>
              </w:rPr>
              <w:t xml:space="preserve"> договору про закупівлю з жодним з учасників, які подали тендерні пропозиції.</w:t>
            </w:r>
          </w:p>
          <w:p w14:paraId="05641F2D" w14:textId="77777777" w:rsidR="005A294D" w:rsidRPr="006C4532" w:rsidRDefault="005A294D" w:rsidP="005A294D">
            <w:pPr>
              <w:shd w:val="clear" w:color="auto" w:fill="FFFFFF"/>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 xml:space="preserve">Забезпечення тендерної пропозиції </w:t>
            </w:r>
            <w:r w:rsidRPr="006C4532">
              <w:rPr>
                <w:rFonts w:ascii="Times New Roman" w:eastAsia="Times New Roman" w:hAnsi="Times New Roman" w:cs="Times New Roman"/>
                <w:b/>
                <w:i/>
                <w:sz w:val="22"/>
                <w:szCs w:val="22"/>
                <w:highlight w:val="yellow"/>
                <w:lang w:val="uk-UA"/>
              </w:rPr>
              <w:t>не повертається</w:t>
            </w:r>
            <w:r w:rsidRPr="006C4532">
              <w:rPr>
                <w:rFonts w:ascii="Times New Roman" w:eastAsia="Times New Roman" w:hAnsi="Times New Roman" w:cs="Times New Roman"/>
                <w:sz w:val="22"/>
                <w:szCs w:val="22"/>
                <w:highlight w:val="yellow"/>
                <w:lang w:val="uk-UA"/>
              </w:rPr>
              <w:t xml:space="preserve"> у разі:</w:t>
            </w:r>
          </w:p>
          <w:p w14:paraId="6D0CA217" w14:textId="77777777" w:rsidR="005A294D" w:rsidRPr="006C4532" w:rsidRDefault="005A294D" w:rsidP="005A294D">
            <w:pPr>
              <w:numPr>
                <w:ilvl w:val="0"/>
                <w:numId w:val="9"/>
              </w:numPr>
              <w:shd w:val="clear" w:color="auto" w:fill="FFFFFF"/>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відкликання тендерної пропозиції учасником (принципалом) після закінчення строку її подання, але до того, як сплив строк, протягом якого тендерні пропозиції вважаються дійсними;</w:t>
            </w:r>
          </w:p>
          <w:p w14:paraId="18B334A9" w14:textId="77777777" w:rsidR="005A294D" w:rsidRPr="006C4532" w:rsidRDefault="005A294D" w:rsidP="005A294D">
            <w:pPr>
              <w:numPr>
                <w:ilvl w:val="0"/>
                <w:numId w:val="9"/>
              </w:numPr>
              <w:shd w:val="clear" w:color="auto" w:fill="FFFFFF"/>
              <w:ind w:right="120"/>
              <w:jc w:val="both"/>
              <w:rPr>
                <w:rFonts w:ascii="Times New Roman" w:eastAsia="Times New Roman" w:hAnsi="Times New Roman" w:cs="Times New Roman"/>
                <w:sz w:val="22"/>
                <w:szCs w:val="22"/>
                <w:highlight w:val="yellow"/>
                <w:lang w:val="uk-UA"/>
              </w:rPr>
            </w:pPr>
            <w:proofErr w:type="spellStart"/>
            <w:r w:rsidRPr="006C4532">
              <w:rPr>
                <w:rFonts w:ascii="Times New Roman" w:eastAsia="Times New Roman" w:hAnsi="Times New Roman" w:cs="Times New Roman"/>
                <w:sz w:val="22"/>
                <w:szCs w:val="22"/>
                <w:highlight w:val="yellow"/>
                <w:lang w:val="uk-UA"/>
              </w:rPr>
              <w:lastRenderedPageBreak/>
              <w:t>непідписання</w:t>
            </w:r>
            <w:proofErr w:type="spellEnd"/>
            <w:r w:rsidRPr="006C4532">
              <w:rPr>
                <w:rFonts w:ascii="Times New Roman" w:eastAsia="Times New Roman" w:hAnsi="Times New Roman" w:cs="Times New Roman"/>
                <w:sz w:val="22"/>
                <w:szCs w:val="22"/>
                <w:highlight w:val="yellow"/>
                <w:lang w:val="uk-UA"/>
              </w:rPr>
              <w:t xml:space="preserve"> учасником (принципалом), який став переможцем тендеру, договору про закупівлю;</w:t>
            </w:r>
          </w:p>
          <w:p w14:paraId="2DF7E4E1" w14:textId="77777777" w:rsidR="005A294D" w:rsidRPr="006C4532" w:rsidRDefault="005A294D" w:rsidP="005A294D">
            <w:pPr>
              <w:numPr>
                <w:ilvl w:val="0"/>
                <w:numId w:val="9"/>
              </w:numPr>
              <w:shd w:val="clear" w:color="auto" w:fill="FFFFFF"/>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1A144908" w14:textId="77777777" w:rsidR="005A294D" w:rsidRPr="006C4532" w:rsidRDefault="005A294D" w:rsidP="005A294D">
            <w:pPr>
              <w:numPr>
                <w:ilvl w:val="0"/>
                <w:numId w:val="9"/>
              </w:numPr>
              <w:shd w:val="clear" w:color="auto" w:fill="FFFFFF"/>
              <w:ind w:right="120"/>
              <w:jc w:val="both"/>
              <w:rPr>
                <w:rFonts w:ascii="Times New Roman" w:eastAsia="Times New Roman" w:hAnsi="Times New Roman" w:cs="Times New Roman"/>
                <w:sz w:val="22"/>
                <w:szCs w:val="22"/>
                <w:highlight w:val="yellow"/>
                <w:lang w:val="uk-UA"/>
              </w:rPr>
            </w:pPr>
            <w:r w:rsidRPr="006C4532">
              <w:rPr>
                <w:rFonts w:ascii="Times New Roman" w:eastAsia="Times New Roman" w:hAnsi="Times New Roman" w:cs="Times New Roman"/>
                <w:sz w:val="22"/>
                <w:szCs w:val="22"/>
                <w:highlight w:val="yellow"/>
                <w:lang w:val="uk-UA"/>
              </w:rPr>
              <w:t>ненадання учасником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8740967" w14:textId="174281B7" w:rsidR="00E30708" w:rsidRPr="006C4532" w:rsidRDefault="005A294D" w:rsidP="005A294D">
            <w:pPr>
              <w:jc w:val="both"/>
              <w:rPr>
                <w:rFonts w:ascii="Times New Roman CYR" w:hAnsi="Times New Roman CYR" w:cs="Times New Roman CYR"/>
                <w:sz w:val="22"/>
                <w:szCs w:val="22"/>
                <w:lang w:val="uk-UA"/>
              </w:rPr>
            </w:pPr>
            <w:r w:rsidRPr="006C4532">
              <w:rPr>
                <w:rFonts w:ascii="Times New Roman" w:eastAsia="Times New Roman" w:hAnsi="Times New Roman" w:cs="Times New Roman"/>
                <w:sz w:val="22"/>
                <w:szCs w:val="22"/>
                <w:highlight w:val="yellow"/>
                <w:lang w:val="uk-UA"/>
              </w:rPr>
              <w:t xml:space="preserve">За зверненням учасника, яким було надано забезпечення тендерної пропозиції, </w:t>
            </w:r>
            <w:r w:rsidRPr="006C4532">
              <w:rPr>
                <w:rFonts w:ascii="Times New Roman" w:eastAsia="Times New Roman" w:hAnsi="Times New Roman" w:cs="Times New Roman"/>
                <w:b/>
                <w:i/>
                <w:sz w:val="22"/>
                <w:szCs w:val="22"/>
                <w:highlight w:val="yellow"/>
                <w:lang w:val="uk-UA"/>
              </w:rPr>
              <w:t>замовник повідомляє установу</w:t>
            </w:r>
            <w:r w:rsidRPr="006C4532">
              <w:rPr>
                <w:rFonts w:ascii="Times New Roman" w:eastAsia="Times New Roman" w:hAnsi="Times New Roman" w:cs="Times New Roman"/>
                <w:sz w:val="22"/>
                <w:szCs w:val="22"/>
                <w:highlight w:val="yellow"/>
                <w:lang w:val="uk-UA"/>
              </w:rPr>
              <w:t xml:space="preserve">, що видала такому учаснику гарантію, про настання підстави для повернення забезпечення тендерної пропозиції </w:t>
            </w:r>
            <w:r w:rsidRPr="006C4532">
              <w:rPr>
                <w:rFonts w:ascii="Times New Roman" w:eastAsia="Times New Roman" w:hAnsi="Times New Roman" w:cs="Times New Roman"/>
                <w:b/>
                <w:i/>
                <w:sz w:val="22"/>
                <w:szCs w:val="22"/>
                <w:highlight w:val="yellow"/>
                <w:lang w:val="uk-UA"/>
              </w:rPr>
              <w:t>протягом п’яти днів</w:t>
            </w:r>
            <w:r w:rsidRPr="006C4532">
              <w:rPr>
                <w:rFonts w:ascii="Times New Roman" w:eastAsia="Times New Roman" w:hAnsi="Times New Roman" w:cs="Times New Roman"/>
                <w:sz w:val="22"/>
                <w:szCs w:val="22"/>
                <w:highlight w:val="yellow"/>
                <w:lang w:val="uk-UA"/>
              </w:rPr>
              <w:t xml:space="preserve"> з дня настання однієї з підстав повернення забезпечення тендерної пропозиції. Учасники мають надати в складі тендерної пропозиції довідку щодо розуміння того, що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tc>
      </w:tr>
      <w:tr w:rsidR="00E30708" w:rsidRPr="006C4532" w14:paraId="6AA99532" w14:textId="77777777" w:rsidTr="00E30708">
        <w:tc>
          <w:tcPr>
            <w:tcW w:w="1486" w:type="dxa"/>
          </w:tcPr>
          <w:p w14:paraId="39CBC252" w14:textId="64095633" w:rsidR="00E30708" w:rsidRPr="006C4532" w:rsidRDefault="00E30708" w:rsidP="00E30708">
            <w:pPr>
              <w:jc w:val="center"/>
              <w:rPr>
                <w:rFonts w:ascii="Times New Roman" w:hAnsi="Times New Roman" w:cs="Times New Roman"/>
                <w:b/>
                <w:sz w:val="18"/>
                <w:szCs w:val="20"/>
                <w:lang w:val="uk-UA"/>
              </w:rPr>
            </w:pPr>
            <w:r w:rsidRPr="006C4532">
              <w:rPr>
                <w:rFonts w:ascii="Times New Roman" w:hAnsi="Times New Roman" w:cs="Times New Roman"/>
                <w:b/>
                <w:sz w:val="18"/>
                <w:szCs w:val="20"/>
                <w:lang w:val="uk-UA"/>
              </w:rPr>
              <w:lastRenderedPageBreak/>
              <w:t>п. 5 Забезпечення виконання договору про закупівлю  Розділу 6 Тендерної документації</w:t>
            </w:r>
          </w:p>
          <w:p w14:paraId="7A1FF0DF" w14:textId="77777777" w:rsidR="00E30708" w:rsidRPr="006C4532" w:rsidRDefault="00E30708" w:rsidP="00E30708">
            <w:pPr>
              <w:jc w:val="center"/>
              <w:rPr>
                <w:rFonts w:ascii="Times New Roman" w:hAnsi="Times New Roman" w:cs="Times New Roman"/>
                <w:b/>
                <w:sz w:val="18"/>
                <w:szCs w:val="20"/>
                <w:lang w:val="uk-UA"/>
              </w:rPr>
            </w:pPr>
          </w:p>
        </w:tc>
        <w:tc>
          <w:tcPr>
            <w:tcW w:w="4610" w:type="dxa"/>
          </w:tcPr>
          <w:p w14:paraId="267CE5E1" w14:textId="77777777" w:rsidR="00E30708" w:rsidRPr="006C4532" w:rsidRDefault="00E30708" w:rsidP="00E30708">
            <w:pPr>
              <w:shd w:val="clear" w:color="auto" w:fill="FFFFFF"/>
              <w:jc w:val="both"/>
              <w:rPr>
                <w:rFonts w:ascii="Times New Roman" w:hAnsi="Times New Roman" w:cs="Times New Roman"/>
                <w:szCs w:val="28"/>
                <w:lang w:val="uk-UA"/>
              </w:rPr>
            </w:pPr>
            <w:r w:rsidRPr="006C4532">
              <w:rPr>
                <w:rFonts w:ascii="Times New Roman" w:hAnsi="Times New Roman" w:cs="Times New Roman"/>
                <w:sz w:val="22"/>
                <w:lang w:val="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208B9D91" w14:textId="77777777" w:rsidR="00E30708" w:rsidRPr="006C4532" w:rsidRDefault="00E30708" w:rsidP="00E30708">
            <w:pPr>
              <w:ind w:right="120"/>
              <w:jc w:val="both"/>
              <w:rPr>
                <w:rFonts w:ascii="Times New Roman" w:hAnsi="Times New Roman" w:cs="Times New Roman"/>
                <w:color w:val="000000"/>
                <w:sz w:val="22"/>
                <w:lang w:val="uk-UA"/>
              </w:rPr>
            </w:pPr>
            <w:r w:rsidRPr="006C4532">
              <w:rPr>
                <w:rFonts w:ascii="Times New Roman" w:hAnsi="Times New Roman" w:cs="Times New Roman"/>
                <w:sz w:val="22"/>
                <w:lang w:val="uk-UA"/>
              </w:rPr>
              <w:t xml:space="preserve">Переможець процедури закупівлі не пізніше дати укладення договору про закупівлю </w:t>
            </w:r>
            <w:r w:rsidRPr="006C4532">
              <w:rPr>
                <w:rFonts w:ascii="Times New Roman" w:hAnsi="Times New Roman" w:cs="Times New Roman"/>
                <w:color w:val="000000"/>
                <w:sz w:val="22"/>
                <w:lang w:val="uk-UA"/>
              </w:rPr>
              <w:t>надає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27287954" w14:textId="77777777" w:rsidR="00E30708" w:rsidRPr="006C4532" w:rsidRDefault="00E30708" w:rsidP="00E30708">
            <w:pPr>
              <w:jc w:val="both"/>
              <w:rPr>
                <w:rFonts w:ascii="Times New Roman" w:hAnsi="Times New Roman" w:cs="Times New Roman"/>
                <w:sz w:val="22"/>
                <w:lang w:val="uk-UA"/>
              </w:rPr>
            </w:pPr>
            <w:r w:rsidRPr="006C4532">
              <w:rPr>
                <w:rFonts w:ascii="Times New Roman" w:hAnsi="Times New Roman" w:cs="Times New Roman"/>
                <w:color w:val="000000"/>
                <w:sz w:val="22"/>
                <w:lang w:val="uk-UA"/>
              </w:rPr>
              <w:lastRenderedPageBreak/>
              <w:t>Вид забезпечення виконання договору про закупівлю – банківська гарантія.</w:t>
            </w:r>
          </w:p>
          <w:p w14:paraId="56C34117" w14:textId="77777777" w:rsidR="00E30708" w:rsidRPr="006C4532" w:rsidRDefault="00E30708" w:rsidP="00E30708">
            <w:pPr>
              <w:jc w:val="both"/>
              <w:rPr>
                <w:rFonts w:ascii="Times New Roman" w:hAnsi="Times New Roman" w:cs="Times New Roman"/>
                <w:b/>
                <w:color w:val="000000"/>
                <w:sz w:val="22"/>
                <w:lang w:val="uk-UA"/>
              </w:rPr>
            </w:pPr>
            <w:r w:rsidRPr="006C4532">
              <w:rPr>
                <w:rFonts w:ascii="Times New Roman" w:hAnsi="Times New Roman" w:cs="Times New Roman"/>
                <w:b/>
                <w:color w:val="000000"/>
                <w:sz w:val="22"/>
                <w:lang w:val="uk-UA"/>
              </w:rPr>
              <w:t>Розмір забезпечення виконання договору про закупівлю складає 5 % (п’ять відсотків) від вартості договору.</w:t>
            </w:r>
          </w:p>
          <w:p w14:paraId="1BA4E454" w14:textId="77777777" w:rsidR="00E30708" w:rsidRPr="006C4532" w:rsidRDefault="00E30708" w:rsidP="00E30708">
            <w:pPr>
              <w:jc w:val="both"/>
              <w:rPr>
                <w:rFonts w:ascii="Times New Roman" w:hAnsi="Times New Roman" w:cs="Times New Roman"/>
                <w:b/>
                <w:color w:val="000000"/>
                <w:sz w:val="22"/>
                <w:lang w:val="uk-UA"/>
              </w:rPr>
            </w:pPr>
            <w:r w:rsidRPr="006C4532">
              <w:rPr>
                <w:rFonts w:ascii="Times New Roman" w:hAnsi="Times New Roman" w:cs="Times New Roman"/>
                <w:b/>
                <w:color w:val="000000"/>
                <w:sz w:val="22"/>
                <w:lang w:val="uk-UA"/>
              </w:rPr>
              <w:t>Банківська гарантія повинна бути оформлена з грошовим покриттям. На підтвердження наявності грошового покриття під час укладання договору про закупівлю Переможцем надається  платіжне доручення щодо переведення повного розміру забезпечення виконання договору на рахунок принципала для розміщення грошового забезпечення (покриття) гарантії.</w:t>
            </w:r>
          </w:p>
          <w:p w14:paraId="1FD81D3F" w14:textId="77777777" w:rsidR="00E30708" w:rsidRPr="006C4532" w:rsidRDefault="00E30708" w:rsidP="00E30708">
            <w:pPr>
              <w:ind w:right="120"/>
              <w:jc w:val="both"/>
              <w:rPr>
                <w:rFonts w:ascii="Times New Roman" w:hAnsi="Times New Roman" w:cs="Times New Roman"/>
                <w:color w:val="000000"/>
                <w:sz w:val="22"/>
                <w:lang w:val="uk-UA"/>
              </w:rPr>
            </w:pPr>
            <w:r w:rsidRPr="006C4532">
              <w:rPr>
                <w:rFonts w:ascii="Times New Roman" w:hAnsi="Times New Roman" w:cs="Times New Roman"/>
                <w:color w:val="000000"/>
                <w:sz w:val="22"/>
                <w:lang w:val="uk-UA"/>
              </w:rPr>
              <w:t xml:space="preserve">До уваги учасників інформація для оформлення банківської гарантії: </w:t>
            </w:r>
          </w:p>
          <w:p w14:paraId="1AB6B432" w14:textId="77777777" w:rsidR="001D7F00" w:rsidRPr="001D7F00" w:rsidRDefault="001D7F00" w:rsidP="001D7F00">
            <w:pPr>
              <w:ind w:right="120"/>
              <w:jc w:val="both"/>
              <w:rPr>
                <w:rFonts w:ascii="Times New Roman" w:hAnsi="Times New Roman" w:cs="Times New Roman"/>
                <w:sz w:val="22"/>
                <w:szCs w:val="22"/>
                <w:lang w:val="uk-UA"/>
              </w:rPr>
            </w:pPr>
            <w:bookmarkStart w:id="0" w:name="_GoBack"/>
            <w:bookmarkEnd w:id="0"/>
            <w:r w:rsidRPr="001D7F00">
              <w:rPr>
                <w:rFonts w:ascii="Times New Roman" w:hAnsi="Times New Roman" w:cs="Times New Roman"/>
                <w:color w:val="000000"/>
                <w:sz w:val="22"/>
                <w:szCs w:val="22"/>
                <w:lang w:val="uk-UA"/>
              </w:rPr>
              <w:t xml:space="preserve">Назва Замовника: </w:t>
            </w:r>
            <w:proofErr w:type="spellStart"/>
            <w:r w:rsidRPr="001D7F00">
              <w:rPr>
                <w:rFonts w:ascii="Times New Roman" w:hAnsi="Times New Roman" w:cs="Times New Roman"/>
                <w:color w:val="000000"/>
                <w:sz w:val="22"/>
                <w:szCs w:val="22"/>
                <w:lang w:val="uk-UA"/>
              </w:rPr>
              <w:t>Лиманська</w:t>
            </w:r>
            <w:proofErr w:type="spellEnd"/>
            <w:r w:rsidRPr="001D7F00">
              <w:rPr>
                <w:rFonts w:ascii="Times New Roman" w:hAnsi="Times New Roman" w:cs="Times New Roman"/>
                <w:color w:val="000000"/>
                <w:sz w:val="22"/>
                <w:szCs w:val="22"/>
                <w:lang w:val="uk-UA"/>
              </w:rPr>
              <w:t xml:space="preserve"> сільська рада Білгород-Дністровського району Одеської області</w:t>
            </w:r>
          </w:p>
          <w:p w14:paraId="6E2B9244" w14:textId="77777777" w:rsidR="001D7F00" w:rsidRPr="001D7F00" w:rsidRDefault="001D7F00" w:rsidP="001D7F00">
            <w:pPr>
              <w:ind w:right="120"/>
              <w:jc w:val="both"/>
              <w:rPr>
                <w:rFonts w:ascii="Times New Roman" w:hAnsi="Times New Roman" w:cs="Times New Roman"/>
                <w:color w:val="000000"/>
                <w:sz w:val="22"/>
                <w:szCs w:val="22"/>
                <w:lang w:val="uk-UA"/>
              </w:rPr>
            </w:pPr>
            <w:r w:rsidRPr="001D7F00">
              <w:rPr>
                <w:rFonts w:ascii="Times New Roman" w:hAnsi="Times New Roman" w:cs="Times New Roman"/>
                <w:color w:val="000000"/>
                <w:sz w:val="22"/>
                <w:szCs w:val="22"/>
                <w:lang w:val="uk-UA"/>
              </w:rPr>
              <w:t>Місцезнаходження Замовника:</w:t>
            </w:r>
            <w:r w:rsidRPr="001D7F00">
              <w:rPr>
                <w:rFonts w:ascii="Times New Roman" w:eastAsia="Times New Roman" w:hAnsi="Times New Roman" w:cs="Times New Roman"/>
                <w:sz w:val="22"/>
                <w:szCs w:val="22"/>
                <w:lang w:val="uk-UA"/>
              </w:rPr>
              <w:t xml:space="preserve"> </w:t>
            </w:r>
            <w:r w:rsidRPr="001D7F00">
              <w:rPr>
                <w:rFonts w:ascii="Times New Roman" w:hAnsi="Times New Roman" w:cs="Times New Roman"/>
                <w:sz w:val="22"/>
                <w:szCs w:val="22"/>
                <w:lang w:val="uk-UA"/>
              </w:rPr>
              <w:t xml:space="preserve">Україна, 68141, Одеська область, Білгород-Дністровський район, село Лиман, </w:t>
            </w:r>
            <w:proofErr w:type="spellStart"/>
            <w:r w:rsidRPr="001D7F00">
              <w:rPr>
                <w:rFonts w:ascii="Times New Roman" w:hAnsi="Times New Roman" w:cs="Times New Roman"/>
                <w:sz w:val="22"/>
                <w:szCs w:val="22"/>
                <w:lang w:val="uk-UA"/>
              </w:rPr>
              <w:t>Лиманська</w:t>
            </w:r>
            <w:proofErr w:type="spellEnd"/>
            <w:r w:rsidRPr="001D7F00">
              <w:rPr>
                <w:rFonts w:ascii="Times New Roman" w:hAnsi="Times New Roman" w:cs="Times New Roman"/>
                <w:sz w:val="22"/>
                <w:szCs w:val="22"/>
                <w:lang w:val="uk-UA"/>
              </w:rPr>
              <w:t xml:space="preserve"> ТГ, вулиця Героїв України, будинок 47А</w:t>
            </w:r>
          </w:p>
          <w:p w14:paraId="18972C13" w14:textId="77777777" w:rsidR="001D7F00" w:rsidRPr="006C4532" w:rsidRDefault="001D7F00" w:rsidP="001D7F00">
            <w:pPr>
              <w:ind w:right="120"/>
              <w:jc w:val="both"/>
              <w:rPr>
                <w:rFonts w:ascii="Times New Roman" w:hAnsi="Times New Roman" w:cs="Times New Roman"/>
                <w:color w:val="000000"/>
                <w:sz w:val="22"/>
                <w:szCs w:val="22"/>
                <w:lang w:val="uk-UA"/>
              </w:rPr>
            </w:pPr>
            <w:r w:rsidRPr="001D7F00">
              <w:rPr>
                <w:rFonts w:ascii="Times New Roman" w:hAnsi="Times New Roman" w:cs="Times New Roman"/>
                <w:color w:val="000000"/>
                <w:sz w:val="22"/>
                <w:szCs w:val="22"/>
                <w:lang w:val="uk-UA"/>
              </w:rPr>
              <w:t xml:space="preserve">Код ЄДРПОУ: </w:t>
            </w:r>
            <w:r w:rsidRPr="001D7F00">
              <w:rPr>
                <w:rFonts w:ascii="Times New Roman" w:eastAsia="Times New Roman" w:hAnsi="Times New Roman" w:cs="Times New Roman"/>
                <w:sz w:val="22"/>
                <w:szCs w:val="22"/>
                <w:lang w:val="uk-UA"/>
              </w:rPr>
              <w:t>04379404</w:t>
            </w:r>
          </w:p>
          <w:p w14:paraId="604D9386" w14:textId="77777777" w:rsidR="00E30708" w:rsidRPr="006C4532" w:rsidRDefault="00E30708" w:rsidP="00E30708">
            <w:pPr>
              <w:jc w:val="both"/>
              <w:rPr>
                <w:rFonts w:ascii="Times New Roman" w:hAnsi="Times New Roman" w:cs="Times New Roman"/>
                <w:sz w:val="22"/>
                <w:lang w:val="uk-UA"/>
              </w:rPr>
            </w:pPr>
            <w:r w:rsidRPr="006C4532">
              <w:rPr>
                <w:rFonts w:ascii="Times New Roman" w:hAnsi="Times New Roman" w:cs="Times New Roman"/>
                <w:color w:val="000000"/>
                <w:sz w:val="22"/>
                <w:lang w:val="uk-UA"/>
              </w:rPr>
              <w:t>Банківська гарантія повинна діяти протягом всього строку дії договору про закупівлю.</w:t>
            </w:r>
          </w:p>
          <w:p w14:paraId="1B2163D5" w14:textId="77777777" w:rsidR="00E30708" w:rsidRPr="006C4532" w:rsidRDefault="00E30708" w:rsidP="00E30708">
            <w:pPr>
              <w:jc w:val="both"/>
              <w:rPr>
                <w:rFonts w:ascii="Times New Roman" w:hAnsi="Times New Roman" w:cs="Times New Roman"/>
                <w:sz w:val="22"/>
                <w:lang w:val="uk-UA"/>
              </w:rPr>
            </w:pPr>
            <w:r w:rsidRPr="006C4532">
              <w:rPr>
                <w:rFonts w:ascii="Times New Roman" w:hAnsi="Times New Roman" w:cs="Times New Roman"/>
                <w:color w:val="000000"/>
                <w:sz w:val="22"/>
                <w:lang w:val="uk-UA"/>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AFFA849" w14:textId="77777777" w:rsidR="00E30708" w:rsidRPr="006C4532" w:rsidRDefault="00E30708" w:rsidP="00E30708">
            <w:pPr>
              <w:jc w:val="both"/>
              <w:rPr>
                <w:rFonts w:ascii="Times New Roman" w:hAnsi="Times New Roman" w:cs="Times New Roman"/>
                <w:sz w:val="22"/>
                <w:lang w:val="uk-UA"/>
              </w:rPr>
            </w:pPr>
            <w:r w:rsidRPr="006C4532">
              <w:rPr>
                <w:rFonts w:ascii="Times New Roman" w:hAnsi="Times New Roman" w:cs="Times New Roman"/>
                <w:color w:val="000000"/>
                <w:sz w:val="22"/>
                <w:lang w:val="uk-UA"/>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6CE7E46A" w14:textId="77777777" w:rsidR="00E30708" w:rsidRPr="006C4532" w:rsidRDefault="00E30708" w:rsidP="00E30708">
            <w:pPr>
              <w:jc w:val="both"/>
              <w:rPr>
                <w:rFonts w:ascii="Times New Roman" w:hAnsi="Times New Roman" w:cs="Times New Roman"/>
                <w:sz w:val="22"/>
                <w:lang w:val="uk-UA"/>
              </w:rPr>
            </w:pPr>
            <w:r w:rsidRPr="006C4532">
              <w:rPr>
                <w:rFonts w:ascii="Times New Roman" w:hAnsi="Times New Roman" w:cs="Times New Roman"/>
                <w:color w:val="000000"/>
                <w:sz w:val="22"/>
                <w:lang w:val="uk-UA"/>
              </w:rPr>
              <w:t>Банк, яким видана гарантія, за офіційними даними НБУ повинен бути платоспроможним та не знаходитись в стадії ліквідації.</w:t>
            </w:r>
          </w:p>
          <w:p w14:paraId="1732A5EE" w14:textId="77777777" w:rsidR="00E30708" w:rsidRPr="006C4532" w:rsidRDefault="00E30708" w:rsidP="00E30708">
            <w:pPr>
              <w:jc w:val="both"/>
              <w:rPr>
                <w:rFonts w:ascii="Times New Roman" w:hAnsi="Times New Roman" w:cs="Times New Roman"/>
                <w:color w:val="000000"/>
                <w:sz w:val="22"/>
                <w:lang w:val="uk-UA"/>
              </w:rPr>
            </w:pPr>
            <w:r w:rsidRPr="006C4532">
              <w:rPr>
                <w:rFonts w:ascii="Times New Roman" w:hAnsi="Times New Roman" w:cs="Times New Roman"/>
                <w:b/>
                <w:color w:val="000000"/>
                <w:sz w:val="22"/>
                <w:u w:val="single"/>
                <w:lang w:val="uk-UA"/>
              </w:rPr>
              <w:t>У разі якщо Переможець є нерезидентом</w:t>
            </w:r>
            <w:r w:rsidRPr="006C4532">
              <w:rPr>
                <w:rFonts w:ascii="Times New Roman" w:hAnsi="Times New Roman" w:cs="Times New Roman"/>
                <w:color w:val="000000"/>
                <w:sz w:val="22"/>
                <w:lang w:val="uk-UA"/>
              </w:rPr>
              <w:t xml:space="preserve">, він може надати забезпечення виконання договору про закупівлю у національній валюті країни замовника </w:t>
            </w:r>
            <w:r w:rsidRPr="006C4532">
              <w:rPr>
                <w:rFonts w:ascii="Times New Roman" w:hAnsi="Times New Roman" w:cs="Times New Roman"/>
                <w:sz w:val="22"/>
                <w:lang w:val="uk-UA"/>
              </w:rPr>
              <w:t>—</w:t>
            </w:r>
            <w:r w:rsidRPr="006C4532">
              <w:rPr>
                <w:rFonts w:ascii="Times New Roman" w:hAnsi="Times New Roman" w:cs="Times New Roman"/>
                <w:color w:val="000000"/>
                <w:sz w:val="22"/>
                <w:lang w:val="uk-UA"/>
              </w:rPr>
              <w:t xml:space="preserve"> гривні  на суму 5 % (п’ять відсотків) від вартості договору в еквіваленті, що перерахована на дату оформлення банківської гарантії за офіційним курсом Національного банку.</w:t>
            </w:r>
          </w:p>
          <w:p w14:paraId="0D1452D6" w14:textId="77777777" w:rsidR="00E30708" w:rsidRPr="006C4532" w:rsidRDefault="00E30708" w:rsidP="00E30708">
            <w:pPr>
              <w:jc w:val="both"/>
              <w:rPr>
                <w:rFonts w:ascii="Times New Roman" w:hAnsi="Times New Roman" w:cs="Times New Roman"/>
                <w:color w:val="000000"/>
                <w:sz w:val="22"/>
                <w:lang w:val="uk-UA"/>
              </w:rPr>
            </w:pPr>
            <w:r w:rsidRPr="006C4532">
              <w:rPr>
                <w:rFonts w:ascii="Times New Roman" w:hAnsi="Times New Roman" w:cs="Times New Roman"/>
                <w:color w:val="000000"/>
                <w:sz w:val="22"/>
                <w:lang w:val="uk-UA"/>
              </w:rPr>
              <w:t>Замовник повертає забезпечення виконання договору про закупівлю:</w:t>
            </w:r>
          </w:p>
          <w:p w14:paraId="5FBA9822" w14:textId="77777777" w:rsidR="00E30708" w:rsidRPr="006C4532" w:rsidRDefault="00E30708" w:rsidP="00E30708">
            <w:pPr>
              <w:jc w:val="both"/>
              <w:rPr>
                <w:rFonts w:ascii="Times New Roman" w:hAnsi="Times New Roman" w:cs="Times New Roman"/>
                <w:color w:val="000000"/>
                <w:sz w:val="22"/>
                <w:lang w:val="uk-UA"/>
              </w:rPr>
            </w:pPr>
            <w:r w:rsidRPr="006C4532">
              <w:rPr>
                <w:rFonts w:ascii="Times New Roman" w:hAnsi="Times New Roman" w:cs="Times New Roman"/>
                <w:color w:val="000000"/>
                <w:sz w:val="22"/>
                <w:lang w:val="uk-UA"/>
              </w:rPr>
              <w:lastRenderedPageBreak/>
              <w:t>1) після виконання переможцем процедури закупівлі договору про закупівлю;</w:t>
            </w:r>
          </w:p>
          <w:p w14:paraId="146B39A1" w14:textId="77777777" w:rsidR="00E30708" w:rsidRPr="006C4532" w:rsidRDefault="00E30708" w:rsidP="00E30708">
            <w:pPr>
              <w:jc w:val="both"/>
              <w:rPr>
                <w:rFonts w:ascii="Times New Roman" w:hAnsi="Times New Roman" w:cs="Times New Roman"/>
                <w:color w:val="000000"/>
                <w:sz w:val="22"/>
                <w:lang w:val="uk-UA"/>
              </w:rPr>
            </w:pPr>
            <w:r w:rsidRPr="006C4532">
              <w:rPr>
                <w:rFonts w:ascii="Times New Roman" w:hAnsi="Times New Roman" w:cs="Times New Roman"/>
                <w:color w:val="000000"/>
                <w:sz w:val="22"/>
                <w:lang w:val="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708E90D4" w14:textId="77777777" w:rsidR="00E30708" w:rsidRPr="006C4532" w:rsidRDefault="00E30708" w:rsidP="00E30708">
            <w:pPr>
              <w:jc w:val="both"/>
              <w:rPr>
                <w:rFonts w:ascii="Times New Roman" w:hAnsi="Times New Roman" w:cs="Times New Roman"/>
                <w:color w:val="000000"/>
                <w:sz w:val="22"/>
                <w:lang w:val="uk-UA"/>
              </w:rPr>
            </w:pPr>
            <w:r w:rsidRPr="006C4532">
              <w:rPr>
                <w:rFonts w:ascii="Times New Roman" w:hAnsi="Times New Roman" w:cs="Times New Roman"/>
                <w:color w:val="000000"/>
                <w:sz w:val="22"/>
                <w:lang w:val="uk-UA"/>
              </w:rPr>
              <w:t xml:space="preserve">3) у випадках, передбачених статтею </w:t>
            </w:r>
            <w:r w:rsidRPr="006C4532">
              <w:rPr>
                <w:rFonts w:ascii="Times New Roman" w:hAnsi="Times New Roman" w:cs="Times New Roman"/>
                <w:sz w:val="22"/>
                <w:lang w:val="uk-UA"/>
              </w:rPr>
              <w:t>21</w:t>
            </w:r>
            <w:r w:rsidRPr="006C4532">
              <w:rPr>
                <w:rFonts w:ascii="Times New Roman" w:hAnsi="Times New Roman" w:cs="Times New Roman"/>
                <w:color w:val="000000"/>
                <w:sz w:val="22"/>
                <w:lang w:val="uk-UA"/>
              </w:rPr>
              <w:t xml:space="preserve"> </w:t>
            </w:r>
            <w:r w:rsidRPr="006C4532">
              <w:rPr>
                <w:rFonts w:ascii="Times New Roman" w:hAnsi="Times New Roman" w:cs="Times New Roman"/>
                <w:sz w:val="22"/>
                <w:lang w:val="uk-UA"/>
              </w:rPr>
              <w:t>Особливостей</w:t>
            </w:r>
            <w:r w:rsidRPr="006C4532">
              <w:rPr>
                <w:rFonts w:ascii="Times New Roman" w:hAnsi="Times New Roman" w:cs="Times New Roman"/>
                <w:color w:val="000000"/>
                <w:sz w:val="22"/>
                <w:lang w:val="uk-UA"/>
              </w:rPr>
              <w:t>;</w:t>
            </w:r>
          </w:p>
          <w:p w14:paraId="28570FD3" w14:textId="77777777" w:rsidR="00E30708" w:rsidRPr="006C4532" w:rsidRDefault="00E30708" w:rsidP="00E30708">
            <w:pPr>
              <w:jc w:val="both"/>
              <w:rPr>
                <w:rFonts w:ascii="Times New Roman" w:hAnsi="Times New Roman" w:cs="Times New Roman"/>
                <w:color w:val="000000"/>
                <w:sz w:val="22"/>
                <w:lang w:val="uk-UA"/>
              </w:rPr>
            </w:pPr>
            <w:r w:rsidRPr="006C4532">
              <w:rPr>
                <w:rFonts w:ascii="Times New Roman" w:hAnsi="Times New Roman" w:cs="Times New Roman"/>
                <w:color w:val="000000"/>
                <w:sz w:val="22"/>
                <w:lang w:val="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2F06E067" w14:textId="77777777" w:rsidR="00E30708" w:rsidRPr="006C4532" w:rsidRDefault="00E30708" w:rsidP="00E30708">
            <w:pPr>
              <w:jc w:val="both"/>
              <w:rPr>
                <w:rFonts w:ascii="Times New Roman" w:hAnsi="Times New Roman" w:cs="Times New Roman"/>
                <w:sz w:val="22"/>
                <w:lang w:val="uk-UA"/>
              </w:rPr>
            </w:pPr>
            <w:r w:rsidRPr="006C4532">
              <w:rPr>
                <w:rFonts w:ascii="Times New Roman" w:hAnsi="Times New Roman" w:cs="Times New Roman"/>
                <w:color w:val="000000"/>
                <w:sz w:val="22"/>
                <w:lang w:val="uk-UA"/>
              </w:rPr>
              <w:t>Усі витрати пов’язані з наданням забезпечення виконання договору про закупівлю здійснюються за рахунок коштів Переможця.</w:t>
            </w:r>
          </w:p>
          <w:p w14:paraId="35DBA596" w14:textId="77777777" w:rsidR="00E30708" w:rsidRPr="006C4532" w:rsidRDefault="00E30708" w:rsidP="00E30708">
            <w:pPr>
              <w:jc w:val="both"/>
              <w:rPr>
                <w:rFonts w:ascii="Times New Roman" w:hAnsi="Times New Roman" w:cs="Times New Roman"/>
                <w:color w:val="000000"/>
                <w:sz w:val="22"/>
                <w:lang w:val="uk-UA"/>
              </w:rPr>
            </w:pPr>
            <w:r w:rsidRPr="006C4532">
              <w:rPr>
                <w:rFonts w:ascii="Times New Roman" w:hAnsi="Times New Roman" w:cs="Times New Roman"/>
                <w:color w:val="000000"/>
                <w:sz w:val="22"/>
                <w:lang w:val="uk-UA"/>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sidRPr="006C4532">
              <w:rPr>
                <w:rFonts w:ascii="Times New Roman" w:hAnsi="Times New Roman" w:cs="Times New Roman"/>
                <w:sz w:val="22"/>
                <w:lang w:val="uk-UA"/>
              </w:rPr>
              <w:t>—</w:t>
            </w:r>
            <w:r w:rsidRPr="006C4532">
              <w:rPr>
                <w:rFonts w:ascii="Times New Roman" w:hAnsi="Times New Roman" w:cs="Times New Roman"/>
                <w:color w:val="000000"/>
                <w:sz w:val="22"/>
                <w:lang w:val="uk-UA"/>
              </w:rPr>
              <w:t xml:space="preserve"> перераховуються на рахунок таких замовників.</w:t>
            </w:r>
          </w:p>
          <w:p w14:paraId="366897B1" w14:textId="466C40FC" w:rsidR="00E30708" w:rsidRPr="006C4532" w:rsidRDefault="00E30708" w:rsidP="00E30708">
            <w:pPr>
              <w:jc w:val="both"/>
              <w:rPr>
                <w:rFonts w:ascii="Times New Roman" w:eastAsia="Times New Roman" w:hAnsi="Times New Roman" w:cs="Times New Roman"/>
                <w:lang w:val="uk-UA"/>
              </w:rPr>
            </w:pPr>
            <w:r w:rsidRPr="006C4532">
              <w:rPr>
                <w:rFonts w:ascii="Times New Roman" w:hAnsi="Times New Roman" w:cs="Times New Roman"/>
                <w:color w:val="000000"/>
                <w:sz w:val="22"/>
                <w:lang w:val="uk-UA"/>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6C4532">
              <w:rPr>
                <w:rFonts w:ascii="Times New Roman" w:hAnsi="Times New Roman" w:cs="Times New Roman"/>
                <w:color w:val="000000"/>
                <w:sz w:val="22"/>
                <w:lang w:val="uk-UA"/>
              </w:rPr>
              <w:t>бенефіціар</w:t>
            </w:r>
            <w:proofErr w:type="spellEnd"/>
            <w:r w:rsidRPr="006C4532">
              <w:rPr>
                <w:rFonts w:ascii="Times New Roman" w:hAnsi="Times New Roman" w:cs="Times New Roman"/>
                <w:color w:val="000000"/>
                <w:sz w:val="22"/>
                <w:lang w:val="uk-UA"/>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6C4532">
              <w:rPr>
                <w:rFonts w:ascii="Times New Roman" w:hAnsi="Times New Roman" w:cs="Times New Roman"/>
                <w:color w:val="000000"/>
                <w:sz w:val="22"/>
                <w:lang w:val="uk-UA"/>
              </w:rPr>
              <w:t>заявлення</w:t>
            </w:r>
            <w:proofErr w:type="spellEnd"/>
            <w:r w:rsidRPr="006C4532">
              <w:rPr>
                <w:rFonts w:ascii="Times New Roman" w:hAnsi="Times New Roman" w:cs="Times New Roman"/>
                <w:color w:val="000000"/>
                <w:sz w:val="22"/>
                <w:lang w:val="uk-UA"/>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w:t>
            </w:r>
            <w:proofErr w:type="spellStart"/>
            <w:r w:rsidRPr="006C4532">
              <w:rPr>
                <w:rFonts w:ascii="Times New Roman" w:hAnsi="Times New Roman" w:cs="Times New Roman"/>
                <w:color w:val="000000"/>
                <w:sz w:val="22"/>
                <w:lang w:val="uk-UA"/>
              </w:rPr>
              <w:t>вимозі</w:t>
            </w:r>
            <w:proofErr w:type="spellEnd"/>
            <w:r w:rsidRPr="006C4532">
              <w:rPr>
                <w:rFonts w:ascii="Times New Roman" w:hAnsi="Times New Roman" w:cs="Times New Roman"/>
                <w:color w:val="000000"/>
                <w:sz w:val="22"/>
                <w:lang w:val="uk-UA"/>
              </w:rPr>
              <w:t xml:space="preserve">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c>
          <w:tcPr>
            <w:tcW w:w="4536" w:type="dxa"/>
          </w:tcPr>
          <w:p w14:paraId="659044BB" w14:textId="6F767290" w:rsidR="00E30708" w:rsidRPr="006C4532" w:rsidRDefault="00E30708" w:rsidP="008F0E6E">
            <w:pPr>
              <w:jc w:val="both"/>
              <w:rPr>
                <w:rFonts w:ascii="Times New Roman CYR" w:hAnsi="Times New Roman CYR" w:cs="Times New Roman CYR"/>
                <w:sz w:val="20"/>
                <w:szCs w:val="20"/>
                <w:lang w:val="uk-UA"/>
              </w:rPr>
            </w:pPr>
            <w:r w:rsidRPr="006C4532">
              <w:rPr>
                <w:rFonts w:ascii="Times New Roman" w:eastAsia="Times New Roman" w:hAnsi="Times New Roman" w:cs="Times New Roman"/>
                <w:sz w:val="22"/>
                <w:highlight w:val="yellow"/>
                <w:lang w:val="uk-UA"/>
              </w:rPr>
              <w:lastRenderedPageBreak/>
              <w:t>Не вимагається.</w:t>
            </w:r>
          </w:p>
        </w:tc>
      </w:tr>
      <w:tr w:rsidR="00F95B3F" w:rsidRPr="006C4532" w14:paraId="160E03D4" w14:textId="77777777" w:rsidTr="00E30708">
        <w:tc>
          <w:tcPr>
            <w:tcW w:w="1486" w:type="dxa"/>
          </w:tcPr>
          <w:p w14:paraId="2CB132A4" w14:textId="5C42F5F7" w:rsidR="00F95B3F" w:rsidRPr="006C4532" w:rsidRDefault="00F95B3F" w:rsidP="004F13A6">
            <w:pPr>
              <w:jc w:val="center"/>
              <w:rPr>
                <w:rFonts w:ascii="Times New Roman" w:hAnsi="Times New Roman" w:cs="Times New Roman"/>
                <w:b/>
                <w:sz w:val="18"/>
                <w:szCs w:val="20"/>
                <w:lang w:val="uk-UA"/>
              </w:rPr>
            </w:pPr>
            <w:r w:rsidRPr="006C4532">
              <w:rPr>
                <w:rFonts w:ascii="Times New Roman" w:hAnsi="Times New Roman" w:cs="Times New Roman"/>
                <w:b/>
                <w:sz w:val="18"/>
                <w:szCs w:val="20"/>
                <w:lang w:val="uk-UA"/>
              </w:rPr>
              <w:lastRenderedPageBreak/>
              <w:t xml:space="preserve">№ з/п. 4 п. 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 Додатку 1 </w:t>
            </w:r>
            <w:r w:rsidRPr="006C4532">
              <w:rPr>
                <w:rFonts w:ascii="Times New Roman" w:hAnsi="Times New Roman" w:cs="Times New Roman"/>
                <w:b/>
                <w:sz w:val="18"/>
                <w:szCs w:val="20"/>
                <w:lang w:val="uk-UA"/>
              </w:rPr>
              <w:lastRenderedPageBreak/>
              <w:t>Тендерної документації</w:t>
            </w:r>
          </w:p>
        </w:tc>
        <w:tc>
          <w:tcPr>
            <w:tcW w:w="4610" w:type="dxa"/>
          </w:tcPr>
          <w:tbl>
            <w:tblPr>
              <w:tblStyle w:val="a3"/>
              <w:tblW w:w="0" w:type="auto"/>
              <w:tblLook w:val="04A0" w:firstRow="1" w:lastRow="0" w:firstColumn="1" w:lastColumn="0" w:noHBand="0" w:noVBand="1"/>
            </w:tblPr>
            <w:tblGrid>
              <w:gridCol w:w="380"/>
              <w:gridCol w:w="1353"/>
              <w:gridCol w:w="2594"/>
            </w:tblGrid>
            <w:tr w:rsidR="00F95B3F" w:rsidRPr="00D06830" w14:paraId="7F23BE73" w14:textId="77777777" w:rsidTr="00F95B3F">
              <w:tc>
                <w:tcPr>
                  <w:tcW w:w="381" w:type="dxa"/>
                </w:tcPr>
                <w:p w14:paraId="26B2D8EE" w14:textId="63D9F9E7" w:rsidR="00F95B3F" w:rsidRPr="006C4532" w:rsidRDefault="00F95B3F" w:rsidP="00F95B3F">
                  <w:pPr>
                    <w:jc w:val="both"/>
                    <w:rPr>
                      <w:rFonts w:ascii="Times New Roman" w:hAnsi="Times New Roman" w:cs="Times New Roman"/>
                      <w:sz w:val="16"/>
                      <w:szCs w:val="16"/>
                      <w:lang w:val="uk-UA"/>
                    </w:rPr>
                  </w:pPr>
                  <w:r w:rsidRPr="006C4532">
                    <w:rPr>
                      <w:rFonts w:ascii="Times New Roman" w:hAnsi="Times New Roman" w:cs="Times New Roman"/>
                      <w:sz w:val="16"/>
                      <w:szCs w:val="16"/>
                      <w:lang w:val="uk-UA"/>
                    </w:rPr>
                    <w:lastRenderedPageBreak/>
                    <w:t>4.</w:t>
                  </w:r>
                </w:p>
              </w:tc>
              <w:tc>
                <w:tcPr>
                  <w:tcW w:w="1283" w:type="dxa"/>
                  <w:vAlign w:val="center"/>
                </w:tcPr>
                <w:p w14:paraId="5F63E560" w14:textId="77777777" w:rsidR="00F95B3F" w:rsidRPr="006C4532" w:rsidRDefault="00F95B3F" w:rsidP="00F95B3F">
                  <w:pPr>
                    <w:jc w:val="both"/>
                    <w:rPr>
                      <w:rFonts w:ascii="Times New Roman" w:hAnsi="Times New Roman" w:cs="Times New Roman"/>
                      <w:iCs/>
                      <w:sz w:val="16"/>
                      <w:szCs w:val="16"/>
                      <w:lang w:val="uk-UA"/>
                    </w:rPr>
                  </w:pPr>
                  <w:r w:rsidRPr="006C4532">
                    <w:rPr>
                      <w:rFonts w:ascii="Times New Roman" w:hAnsi="Times New Roman" w:cs="Times New Roman"/>
                      <w:iCs/>
                      <w:sz w:val="16"/>
                      <w:szCs w:val="16"/>
                      <w:lang w:val="uk-UA"/>
                    </w:rPr>
                    <w:t>Наявність фінансової спроможності, яка підтверджується фінансовою звітністю</w:t>
                  </w:r>
                </w:p>
                <w:p w14:paraId="0434C074" w14:textId="77777777" w:rsidR="00F95B3F" w:rsidRPr="006C4532" w:rsidRDefault="00F95B3F" w:rsidP="00F95B3F">
                  <w:pPr>
                    <w:jc w:val="both"/>
                    <w:rPr>
                      <w:rFonts w:ascii="Times New Roman" w:hAnsi="Times New Roman" w:cs="Times New Roman"/>
                      <w:iCs/>
                      <w:sz w:val="16"/>
                      <w:szCs w:val="16"/>
                      <w:lang w:val="uk-UA"/>
                    </w:rPr>
                  </w:pPr>
                </w:p>
                <w:p w14:paraId="68C2DDF1" w14:textId="77777777" w:rsidR="00F95B3F" w:rsidRPr="006C4532" w:rsidRDefault="00F95B3F" w:rsidP="00F95B3F">
                  <w:pPr>
                    <w:jc w:val="both"/>
                    <w:rPr>
                      <w:rFonts w:ascii="Times New Roman" w:hAnsi="Times New Roman" w:cs="Times New Roman"/>
                      <w:iCs/>
                      <w:sz w:val="16"/>
                      <w:szCs w:val="16"/>
                      <w:lang w:val="uk-UA"/>
                    </w:rPr>
                  </w:pPr>
                </w:p>
                <w:p w14:paraId="3638D736" w14:textId="76C7C44E" w:rsidR="00F95B3F" w:rsidRPr="006C4532" w:rsidRDefault="00F95B3F" w:rsidP="00F95B3F">
                  <w:pPr>
                    <w:jc w:val="both"/>
                    <w:rPr>
                      <w:rFonts w:ascii="Times New Roman" w:hAnsi="Times New Roman" w:cs="Times New Roman"/>
                      <w:sz w:val="16"/>
                      <w:szCs w:val="16"/>
                      <w:lang w:val="uk-UA"/>
                    </w:rPr>
                  </w:pPr>
                </w:p>
              </w:tc>
              <w:tc>
                <w:tcPr>
                  <w:tcW w:w="2624" w:type="dxa"/>
                  <w:vAlign w:val="center"/>
                </w:tcPr>
                <w:p w14:paraId="3DA507A9" w14:textId="4833D3A9" w:rsidR="00F95B3F" w:rsidRPr="006C4532" w:rsidRDefault="00F95B3F" w:rsidP="00F95B3F">
                  <w:pPr>
                    <w:jc w:val="both"/>
                    <w:rPr>
                      <w:rFonts w:ascii="Times New Roman" w:hAnsi="Times New Roman" w:cs="Times New Roman"/>
                      <w:sz w:val="16"/>
                      <w:szCs w:val="16"/>
                      <w:lang w:val="uk-UA"/>
                    </w:rPr>
                  </w:pPr>
                  <w:r w:rsidRPr="006C4532">
                    <w:rPr>
                      <w:rFonts w:ascii="Times New Roman" w:hAnsi="Times New Roman" w:cs="Times New Roman"/>
                      <w:sz w:val="16"/>
                      <w:szCs w:val="16"/>
                      <w:lang w:val="uk-UA"/>
                    </w:rPr>
                    <w:t xml:space="preserve">4.1. Учасники мають надати в складі тендерної пропозиції </w:t>
                  </w:r>
                  <w:proofErr w:type="spellStart"/>
                  <w:r w:rsidRPr="006C4532">
                    <w:rPr>
                      <w:rFonts w:ascii="Times New Roman" w:hAnsi="Times New Roman" w:cs="Times New Roman"/>
                      <w:sz w:val="16"/>
                      <w:szCs w:val="16"/>
                      <w:lang w:val="uk-UA"/>
                    </w:rPr>
                    <w:t>скан</w:t>
                  </w:r>
                  <w:proofErr w:type="spellEnd"/>
                  <w:r w:rsidRPr="006C4532">
                    <w:rPr>
                      <w:rFonts w:ascii="Times New Roman" w:hAnsi="Times New Roman" w:cs="Times New Roman"/>
                      <w:sz w:val="16"/>
                      <w:szCs w:val="16"/>
                      <w:lang w:val="uk-UA"/>
                    </w:rPr>
                    <w:t>-копію фінансової звітності (баланс, звіт про фінансові результати) учасника за звітний період (за 2022 рік), що підтверджує обсяг річного доходу (виручки) у розмірі не меншому ніж очікувана вартість предмета закупівлі.</w:t>
                  </w:r>
                </w:p>
              </w:tc>
            </w:tr>
          </w:tbl>
          <w:p w14:paraId="24F09984" w14:textId="77777777" w:rsidR="00F95B3F" w:rsidRPr="006C4532" w:rsidRDefault="00F95B3F" w:rsidP="00E30708">
            <w:pPr>
              <w:shd w:val="clear" w:color="auto" w:fill="FFFFFF"/>
              <w:jc w:val="both"/>
              <w:rPr>
                <w:rFonts w:ascii="Times New Roman" w:hAnsi="Times New Roman" w:cs="Times New Roman"/>
                <w:sz w:val="22"/>
                <w:lang w:val="uk-UA"/>
              </w:rPr>
            </w:pPr>
          </w:p>
        </w:tc>
        <w:tc>
          <w:tcPr>
            <w:tcW w:w="4536" w:type="dxa"/>
          </w:tcPr>
          <w:p w14:paraId="3D3E31EC" w14:textId="00F87BFC" w:rsidR="00F95B3F" w:rsidRPr="006C4532" w:rsidRDefault="004F13A6" w:rsidP="008F0E6E">
            <w:pPr>
              <w:jc w:val="both"/>
              <w:rPr>
                <w:rFonts w:ascii="Times New Roman" w:eastAsia="Times New Roman" w:hAnsi="Times New Roman" w:cs="Times New Roman"/>
                <w:sz w:val="22"/>
                <w:highlight w:val="yellow"/>
                <w:lang w:val="uk-UA"/>
              </w:rPr>
            </w:pPr>
            <w:r w:rsidRPr="006C4532">
              <w:rPr>
                <w:rFonts w:ascii="Times New Roman" w:eastAsia="Times New Roman" w:hAnsi="Times New Roman" w:cs="Times New Roman"/>
                <w:sz w:val="22"/>
                <w:highlight w:val="yellow"/>
                <w:lang w:val="uk-UA"/>
              </w:rPr>
              <w:t>Видалено.</w:t>
            </w:r>
          </w:p>
        </w:tc>
      </w:tr>
      <w:tr w:rsidR="00F95B3F" w:rsidRPr="00D06830" w14:paraId="68FBC9A3" w14:textId="77777777" w:rsidTr="00E30708">
        <w:tc>
          <w:tcPr>
            <w:tcW w:w="1486" w:type="dxa"/>
          </w:tcPr>
          <w:p w14:paraId="2734C62C" w14:textId="6E464462" w:rsidR="00F95B3F" w:rsidRPr="006C4532" w:rsidRDefault="004F13A6" w:rsidP="00DC4CF3">
            <w:pPr>
              <w:jc w:val="center"/>
              <w:rPr>
                <w:rFonts w:ascii="Times New Roman" w:hAnsi="Times New Roman" w:cs="Times New Roman"/>
                <w:b/>
                <w:sz w:val="18"/>
                <w:szCs w:val="20"/>
                <w:lang w:val="uk-UA"/>
              </w:rPr>
            </w:pPr>
            <w:proofErr w:type="spellStart"/>
            <w:r w:rsidRPr="006C4532">
              <w:rPr>
                <w:rFonts w:ascii="Times New Roman" w:hAnsi="Times New Roman" w:cs="Times New Roman"/>
                <w:b/>
                <w:sz w:val="18"/>
                <w:szCs w:val="20"/>
                <w:lang w:val="uk-UA"/>
              </w:rPr>
              <w:lastRenderedPageBreak/>
              <w:t>пп</w:t>
            </w:r>
            <w:proofErr w:type="spellEnd"/>
            <w:r w:rsidRPr="006C4532">
              <w:rPr>
                <w:rFonts w:ascii="Times New Roman" w:hAnsi="Times New Roman" w:cs="Times New Roman"/>
                <w:b/>
                <w:sz w:val="18"/>
                <w:szCs w:val="20"/>
                <w:lang w:val="uk-UA"/>
              </w:rPr>
              <w:t xml:space="preserve">. </w:t>
            </w:r>
            <w:r w:rsidR="00DC4CF3" w:rsidRPr="006C4532">
              <w:rPr>
                <w:rFonts w:ascii="Times New Roman" w:hAnsi="Times New Roman" w:cs="Times New Roman"/>
                <w:b/>
                <w:sz w:val="18"/>
                <w:szCs w:val="20"/>
                <w:lang w:val="uk-UA"/>
              </w:rPr>
              <w:t>6</w:t>
            </w:r>
            <w:r w:rsidRPr="006C4532">
              <w:rPr>
                <w:rFonts w:ascii="Times New Roman" w:hAnsi="Times New Roman" w:cs="Times New Roman"/>
                <w:b/>
                <w:sz w:val="18"/>
                <w:szCs w:val="20"/>
                <w:lang w:val="uk-UA"/>
              </w:rPr>
              <w:t xml:space="preserve"> п. 4 </w:t>
            </w:r>
            <w:r w:rsidRPr="006C4532">
              <w:rPr>
                <w:rFonts w:ascii="Times New Roman" w:eastAsia="Times New Roman" w:hAnsi="Times New Roman" w:cs="Times New Roman"/>
                <w:b/>
                <w:sz w:val="18"/>
                <w:szCs w:val="20"/>
                <w:lang w:val="uk-UA"/>
              </w:rPr>
              <w:t xml:space="preserve">Інша інформація встановлена відповідно до законодавства (для УЧАСНИКІВ — юридичних осіб, фізичних осіб та фізичних осіб — підприємців) </w:t>
            </w:r>
            <w:r w:rsidRPr="006C4532">
              <w:rPr>
                <w:rFonts w:ascii="Times New Roman" w:hAnsi="Times New Roman" w:cs="Times New Roman"/>
                <w:b/>
                <w:sz w:val="18"/>
                <w:szCs w:val="20"/>
                <w:lang w:val="uk-UA"/>
              </w:rPr>
              <w:t>Додатку 1 Тендерної документації</w:t>
            </w:r>
          </w:p>
        </w:tc>
        <w:tc>
          <w:tcPr>
            <w:tcW w:w="4610" w:type="dxa"/>
          </w:tcPr>
          <w:p w14:paraId="2EA347C6" w14:textId="41D2CAF3" w:rsidR="00F95B3F" w:rsidRPr="006C4532" w:rsidRDefault="00DC4CF3" w:rsidP="00E30708">
            <w:pPr>
              <w:shd w:val="clear" w:color="auto" w:fill="FFFFFF"/>
              <w:jc w:val="both"/>
              <w:rPr>
                <w:rFonts w:ascii="Times New Roman" w:hAnsi="Times New Roman" w:cs="Times New Roman"/>
                <w:sz w:val="22"/>
                <w:lang w:val="uk-UA"/>
              </w:rPr>
            </w:pPr>
            <w:r w:rsidRPr="006C4532">
              <w:rPr>
                <w:rFonts w:ascii="Times New Roman" w:hAnsi="Times New Roman" w:cs="Times New Roman"/>
                <w:sz w:val="22"/>
                <w:lang w:val="uk-UA"/>
              </w:rPr>
              <w:t>Відсутній</w:t>
            </w:r>
          </w:p>
        </w:tc>
        <w:tc>
          <w:tcPr>
            <w:tcW w:w="4536" w:type="dxa"/>
          </w:tcPr>
          <w:p w14:paraId="6129BDFD" w14:textId="77777777" w:rsidR="006C4532" w:rsidRPr="006C4532" w:rsidRDefault="006C4532" w:rsidP="006C4532">
            <w:pPr>
              <w:ind w:right="120"/>
              <w:jc w:val="both"/>
              <w:rPr>
                <w:rFonts w:ascii="Times New Roman" w:eastAsia="Times New Roman" w:hAnsi="Times New Roman" w:cs="Times New Roman"/>
                <w:color w:val="000000"/>
                <w:sz w:val="22"/>
                <w:szCs w:val="20"/>
                <w:highlight w:val="yellow"/>
                <w:lang w:val="uk-UA"/>
              </w:rPr>
            </w:pPr>
            <w:r w:rsidRPr="006C4532">
              <w:rPr>
                <w:rFonts w:ascii="Times New Roman" w:eastAsia="Times New Roman" w:hAnsi="Times New Roman" w:cs="Times New Roman"/>
                <w:color w:val="000000"/>
                <w:sz w:val="22"/>
                <w:szCs w:val="20"/>
                <w:highlight w:val="yellow"/>
                <w:lang w:val="uk-UA"/>
              </w:rPr>
              <w:t xml:space="preserve">Відповідно до положень абзацу першого частини третьої статті 22 Закону, учасники  в складі своєї тендерної пропозиції мають надати довідку в довільній формі, що містить відомості про наявність запасів предмету закупівлі в кількості не менш ніж 10 %  від обсягу по кожній позиції асортименту предмету цієї закупівлі у складських приміщеннях обладнаних для зберігання предмету закупівлі, що знаходяться в радіусі 30 км. (по прямій лінії) від села Лиман Білгород-Дністровського району Одеської області. </w:t>
            </w:r>
          </w:p>
          <w:p w14:paraId="49053CD6" w14:textId="196A77D7" w:rsidR="00F95B3F" w:rsidRPr="006C4532" w:rsidRDefault="006C4532" w:rsidP="006C4532">
            <w:pPr>
              <w:jc w:val="both"/>
              <w:rPr>
                <w:rFonts w:ascii="Times New Roman" w:eastAsia="Times New Roman" w:hAnsi="Times New Roman" w:cs="Times New Roman"/>
                <w:sz w:val="22"/>
                <w:highlight w:val="yellow"/>
                <w:lang w:val="uk-UA"/>
              </w:rPr>
            </w:pPr>
            <w:r w:rsidRPr="006C4532">
              <w:rPr>
                <w:rFonts w:ascii="Times New Roman" w:eastAsia="Times New Roman" w:hAnsi="Times New Roman" w:cs="Times New Roman"/>
                <w:color w:val="000000"/>
                <w:sz w:val="22"/>
                <w:szCs w:val="20"/>
                <w:highlight w:val="yellow"/>
                <w:lang w:val="uk-UA"/>
              </w:rPr>
              <w:t>Замовник має право здійснити виїзд на місце знаходження складських приміщень, зазначених у відповідній довідці учасника та скласти відповідний комісійний акт. Довідка учасника, що містить відомості про наявність запасів предмету закупівлі повинна містити інформацію щодо адреси відповідних складських приміщень, правових підстав користуваннями ними, ПІБ уповноваженого представника учасника, який має можливість забезпечити доступ до складських приміщень, номер телефону та адресу електронної пошти, на яку Замовник має право надіслати повідомлення про час здійснення виїзду на місце знаходження складських приміщень. Повідомлення про здійснення виїзду надсилається не менш ніж за 2 (дві) години до часу прибуття представників Замовника до складських приміщень. У разі відсутності доступу до складських приміщень або виявлення недостовірності інформації щодо наявності запасів предмету закупівлі, представники Замовника складають відповідний акт, який є підставою для прийняття відповідного рішення про відхилення тендерної пропозиції учасника (про згоду з положеннями цього пункту Учасник має надати довідку в довільній формі в складі тендерної пропозиції).</w:t>
            </w:r>
          </w:p>
        </w:tc>
      </w:tr>
    </w:tbl>
    <w:p w14:paraId="7D9665C9" w14:textId="77777777" w:rsidR="0039597C" w:rsidRPr="006C4532" w:rsidRDefault="0039597C" w:rsidP="00890312">
      <w:pPr>
        <w:rPr>
          <w:lang w:val="uk-UA"/>
        </w:rPr>
      </w:pPr>
    </w:p>
    <w:sectPr w:rsidR="0039597C" w:rsidRPr="006C4532" w:rsidSect="00312F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095C"/>
    <w:multiLevelType w:val="multilevel"/>
    <w:tmpl w:val="6D3029F2"/>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15:restartNumberingAfterBreak="0">
    <w:nsid w:val="11FA69AC"/>
    <w:multiLevelType w:val="multilevel"/>
    <w:tmpl w:val="9918CBF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CF18C1"/>
    <w:multiLevelType w:val="multilevel"/>
    <w:tmpl w:val="6E10CFBA"/>
    <w:lvl w:ilvl="0">
      <w:start w:val="1"/>
      <w:numFmt w:val="decimal"/>
      <w:lvlText w:val="%1."/>
      <w:lvlJc w:val="left"/>
      <w:pPr>
        <w:ind w:left="460" w:hanging="460"/>
      </w:pPr>
      <w:rPr>
        <w:rFonts w:hint="default"/>
      </w:rPr>
    </w:lvl>
    <w:lvl w:ilvl="1">
      <w:start w:val="2"/>
      <w:numFmt w:val="decimal"/>
      <w:lvlText w:val="%1.%2."/>
      <w:lvlJc w:val="left"/>
      <w:pPr>
        <w:ind w:left="460" w:hanging="4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340DC"/>
    <w:multiLevelType w:val="multilevel"/>
    <w:tmpl w:val="0E58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30ED8"/>
    <w:multiLevelType w:val="multilevel"/>
    <w:tmpl w:val="403CA0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4C0B1A14"/>
    <w:multiLevelType w:val="multilevel"/>
    <w:tmpl w:val="5628A4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EE15881"/>
    <w:multiLevelType w:val="multilevel"/>
    <w:tmpl w:val="30B04B2A"/>
    <w:lvl w:ilvl="0">
      <w:start w:val="1"/>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AF2CD3"/>
    <w:multiLevelType w:val="multilevel"/>
    <w:tmpl w:val="8CE26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6CF3D30"/>
    <w:multiLevelType w:val="multilevel"/>
    <w:tmpl w:val="24FAE32C"/>
    <w:lvl w:ilvl="0">
      <w:start w:val="6"/>
      <w:numFmt w:val="decimal"/>
      <w:lvlText w:val="%1."/>
      <w:lvlJc w:val="left"/>
      <w:pPr>
        <w:ind w:left="460" w:hanging="460"/>
      </w:pPr>
      <w:rPr>
        <w:rFonts w:hint="default"/>
        <w:color w:val="auto"/>
      </w:rPr>
    </w:lvl>
    <w:lvl w:ilvl="1">
      <w:start w:val="2"/>
      <w:numFmt w:val="decimal"/>
      <w:lvlText w:val="%1.%2."/>
      <w:lvlJc w:val="left"/>
      <w:pPr>
        <w:ind w:left="460" w:hanging="4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97C"/>
    <w:rsid w:val="00020FE7"/>
    <w:rsid w:val="00022ACB"/>
    <w:rsid w:val="000359FD"/>
    <w:rsid w:val="000927FA"/>
    <w:rsid w:val="000A57C1"/>
    <w:rsid w:val="000D4CBD"/>
    <w:rsid w:val="000E029B"/>
    <w:rsid w:val="000E4C61"/>
    <w:rsid w:val="00142970"/>
    <w:rsid w:val="00157C94"/>
    <w:rsid w:val="00176334"/>
    <w:rsid w:val="001A1FC7"/>
    <w:rsid w:val="001A5B6A"/>
    <w:rsid w:val="001B255E"/>
    <w:rsid w:val="001C55BA"/>
    <w:rsid w:val="001D7F00"/>
    <w:rsid w:val="00200738"/>
    <w:rsid w:val="002261A5"/>
    <w:rsid w:val="00227BE7"/>
    <w:rsid w:val="00290640"/>
    <w:rsid w:val="00312FC5"/>
    <w:rsid w:val="003456B9"/>
    <w:rsid w:val="0039597C"/>
    <w:rsid w:val="003D1F67"/>
    <w:rsid w:val="00403FA8"/>
    <w:rsid w:val="00407BFF"/>
    <w:rsid w:val="00446E9F"/>
    <w:rsid w:val="004672B5"/>
    <w:rsid w:val="00482B7E"/>
    <w:rsid w:val="004D4624"/>
    <w:rsid w:val="004F13A6"/>
    <w:rsid w:val="00500B81"/>
    <w:rsid w:val="00540C8A"/>
    <w:rsid w:val="005501A2"/>
    <w:rsid w:val="005A0620"/>
    <w:rsid w:val="005A294D"/>
    <w:rsid w:val="005D2418"/>
    <w:rsid w:val="005D447A"/>
    <w:rsid w:val="005F200A"/>
    <w:rsid w:val="00600120"/>
    <w:rsid w:val="00631A9E"/>
    <w:rsid w:val="00651F72"/>
    <w:rsid w:val="00667738"/>
    <w:rsid w:val="006926DB"/>
    <w:rsid w:val="006C4532"/>
    <w:rsid w:val="006E2457"/>
    <w:rsid w:val="007132BE"/>
    <w:rsid w:val="007867BD"/>
    <w:rsid w:val="007A3B1C"/>
    <w:rsid w:val="0083524D"/>
    <w:rsid w:val="00872123"/>
    <w:rsid w:val="00886906"/>
    <w:rsid w:val="00890312"/>
    <w:rsid w:val="008C6B49"/>
    <w:rsid w:val="008F0E6E"/>
    <w:rsid w:val="0092473C"/>
    <w:rsid w:val="00977D50"/>
    <w:rsid w:val="009B5731"/>
    <w:rsid w:val="009F41D9"/>
    <w:rsid w:val="00A25ADC"/>
    <w:rsid w:val="00A32239"/>
    <w:rsid w:val="00A6071D"/>
    <w:rsid w:val="00A63F31"/>
    <w:rsid w:val="00A72350"/>
    <w:rsid w:val="00A74110"/>
    <w:rsid w:val="00AA465F"/>
    <w:rsid w:val="00AC03EE"/>
    <w:rsid w:val="00AF09CF"/>
    <w:rsid w:val="00AF76F0"/>
    <w:rsid w:val="00B67377"/>
    <w:rsid w:val="00BA4363"/>
    <w:rsid w:val="00BF688E"/>
    <w:rsid w:val="00C101F2"/>
    <w:rsid w:val="00C53444"/>
    <w:rsid w:val="00C837D4"/>
    <w:rsid w:val="00CE5E5D"/>
    <w:rsid w:val="00D06830"/>
    <w:rsid w:val="00D16722"/>
    <w:rsid w:val="00D524C2"/>
    <w:rsid w:val="00D72BAB"/>
    <w:rsid w:val="00D72F68"/>
    <w:rsid w:val="00D74B9F"/>
    <w:rsid w:val="00DB1239"/>
    <w:rsid w:val="00DC4CF3"/>
    <w:rsid w:val="00E30708"/>
    <w:rsid w:val="00E342D8"/>
    <w:rsid w:val="00E46C80"/>
    <w:rsid w:val="00E512FA"/>
    <w:rsid w:val="00E559D0"/>
    <w:rsid w:val="00E67CD3"/>
    <w:rsid w:val="00EC09CC"/>
    <w:rsid w:val="00F95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552C"/>
  <w15:chartTrackingRefBased/>
  <w15:docId w15:val="{E76AE15F-6559-5D4C-8116-7B62B123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597C"/>
    <w:pPr>
      <w:spacing w:after="200" w:line="276" w:lineRule="auto"/>
      <w:ind w:left="720"/>
    </w:pPr>
    <w:rPr>
      <w:rFonts w:ascii="Calibri" w:eastAsia="Times New Roman" w:hAnsi="Calibri" w:cs="Calibri"/>
      <w:sz w:val="22"/>
      <w:szCs w:val="22"/>
      <w:lang w:val="uk-UA" w:eastAsia="ru-RU"/>
    </w:rPr>
  </w:style>
  <w:style w:type="paragraph" w:customStyle="1" w:styleId="2">
    <w:name w:val="Без интервала2"/>
    <w:qFormat/>
    <w:rsid w:val="0039597C"/>
    <w:rPr>
      <w:rFonts w:ascii="Calibri" w:eastAsia="Calibri" w:hAnsi="Calibri" w:cs="Times New Roman"/>
      <w:sz w:val="22"/>
      <w:szCs w:val="22"/>
      <w:lang w:val="uk-UA"/>
    </w:rPr>
  </w:style>
  <w:style w:type="character" w:customStyle="1" w:styleId="a5">
    <w:name w:val="Обычный (веб) Знак"/>
    <w:aliases w:val="Знак Знак4 Знак Знак,Знак17 Знак Знак,Знак18 Знак Знак1 Знак,Знак17 Знак1 Знак1 Знак,Знак17 Знак2 Знак,Знак18 Знак Знак Знак,Знак17 Знак1 Знак Знак,Normal (Web) Char Знак Знак Знак Знак,Normal (Web) Char Знак Знак1 Знак,Знак17 Знак1"/>
    <w:link w:val="a6"/>
    <w:uiPriority w:val="99"/>
    <w:locked/>
    <w:rsid w:val="000E029B"/>
    <w:rPr>
      <w:rFonts w:ascii="Times New Roman CYR" w:hAnsi="Times New Roman CYR" w:cs="Times New Roman CYR"/>
    </w:rPr>
  </w:style>
  <w:style w:type="paragraph" w:styleId="a6">
    <w:name w:val="Normal (Web)"/>
    <w:aliases w:val="Знак Знак4 Знак,Знак17 Знак,Знак18 Знак Знак1,Знак17 Знак1 Знак1,Знак17 Знак2,Знак18 Знак Знак,Знак17 Знак1 Знак,Normal (Web) Char Знак Знак Знак,Normal (Web) Char Знак Знак1,Normal (Web) Char Знак1,Обычный (веб) Знак1 Знак,Знак17"/>
    <w:basedOn w:val="a"/>
    <w:link w:val="a5"/>
    <w:uiPriority w:val="99"/>
    <w:unhideWhenUsed/>
    <w:qFormat/>
    <w:rsid w:val="000E029B"/>
    <w:pPr>
      <w:spacing w:before="100" w:beforeAutospacing="1" w:after="100" w:afterAutospacing="1"/>
    </w:pPr>
    <w:rPr>
      <w:rFonts w:ascii="Times New Roman CYR" w:hAnsi="Times New Roman CYR" w:cs="Times New Roman CYR"/>
    </w:rPr>
  </w:style>
  <w:style w:type="character" w:customStyle="1" w:styleId="rvts0">
    <w:name w:val="rvts0"/>
    <w:rsid w:val="000E029B"/>
  </w:style>
  <w:style w:type="paragraph" w:customStyle="1" w:styleId="rvps2">
    <w:name w:val="rvps2"/>
    <w:basedOn w:val="a"/>
    <w:rsid w:val="00022ACB"/>
    <w:pPr>
      <w:spacing w:before="100" w:beforeAutospacing="1" w:after="100" w:afterAutospacing="1"/>
    </w:pPr>
    <w:rPr>
      <w:rFonts w:ascii="Times New Roman CYR" w:eastAsia="Times New Roman" w:hAnsi="Times New Roman CYR" w:cs="Times New Roman CYR"/>
      <w:lang w:val="uk-UA" w:eastAsia="uk-UA"/>
    </w:rPr>
  </w:style>
  <w:style w:type="character" w:styleId="a7">
    <w:name w:val="Hyperlink"/>
    <w:basedOn w:val="a0"/>
    <w:uiPriority w:val="99"/>
    <w:unhideWhenUsed/>
    <w:rsid w:val="00C837D4"/>
    <w:rPr>
      <w:rFonts w:ascii="Times New Roman" w:hAnsi="Times New Roman" w:cs="Times New Roman" w:hint="default"/>
      <w:color w:val="0000FF"/>
      <w:u w:val="single"/>
    </w:rPr>
  </w:style>
  <w:style w:type="character" w:customStyle="1" w:styleId="2350">
    <w:name w:val="2350"/>
    <w:basedOn w:val="a0"/>
    <w:qFormat/>
    <w:rsid w:val="00020FE7"/>
  </w:style>
  <w:style w:type="character" w:customStyle="1" w:styleId="xfm68404770">
    <w:name w:val="xfm_68404770"/>
    <w:basedOn w:val="a0"/>
    <w:rsid w:val="00CE5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8</Pages>
  <Words>2395</Words>
  <Characters>13656</Characters>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2020-06-25T12:34:00Z</dcterms:created>
  <dcterms:modified xsi:type="dcterms:W3CDTF">2023-08-18T15:56:00Z</dcterms:modified>
</cp:coreProperties>
</file>