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rPr/>
      </w:pPr>
      <w:r>
        <w:rPr/>
      </w:r>
    </w:p>
    <w:p>
      <w:pPr>
        <w:pStyle w:val="Normal"/>
        <w:rPr/>
      </w:pPr>
      <w:r>
        <w:rPr/>
      </w:r>
    </w:p>
    <w:tbl>
      <w:tblPr>
        <w:tblW w:w="9468" w:type="dxa"/>
        <w:jc w:val="left"/>
        <w:tblInd w:w="-106" w:type="dxa"/>
        <w:tblLayout w:type="fixed"/>
        <w:tblCellMar>
          <w:top w:w="0" w:type="dxa"/>
          <w:left w:w="108" w:type="dxa"/>
          <w:bottom w:w="0" w:type="dxa"/>
          <w:right w:w="108" w:type="dxa"/>
        </w:tblCellMar>
        <w:tblLook w:firstRow="0" w:noVBand="0" w:lastRow="0" w:firstColumn="0" w:lastColumn="0" w:noHBand="0" w:val="0000"/>
      </w:tblPr>
      <w:tblGrid>
        <w:gridCol w:w="4248"/>
        <w:gridCol w:w="5219"/>
      </w:tblGrid>
      <w:tr>
        <w:trPr>
          <w:trHeight w:val="977" w:hRule="atLeast"/>
        </w:trPr>
        <w:tc>
          <w:tcPr>
            <w:tcW w:w="9467" w:type="dxa"/>
            <w:gridSpan w:val="2"/>
            <w:tcBorders/>
          </w:tcPr>
          <w:p>
            <w:pPr>
              <w:pStyle w:val="Normal"/>
              <w:widowControl w:val="false"/>
              <w:jc w:val="center"/>
              <w:rPr>
                <w:b/>
                <w:b/>
                <w:smallCaps/>
                <w:sz w:val="32"/>
                <w:szCs w:val="32"/>
              </w:rPr>
            </w:pPr>
            <w:r>
              <w:rPr>
                <w:b/>
                <w:smallCaps/>
                <w:sz w:val="32"/>
                <w:szCs w:val="32"/>
              </w:rPr>
              <w:t>ВИКОНАВЧИЙ КОМІТЕТ БІЛОЦЕРКІВСЬКОЇ СІЛЬСЬКОЇ РАДИ МИРГОРОДСЬКОГО РАЙОНУ ПОЛТАВСЬКОЇ ОБЛАСТІ</w:t>
            </w:r>
          </w:p>
        </w:tc>
      </w:tr>
      <w:tr>
        <w:trPr>
          <w:trHeight w:val="599" w:hRule="atLeast"/>
        </w:trPr>
        <w:tc>
          <w:tcPr>
            <w:tcW w:w="4248" w:type="dxa"/>
            <w:vMerge w:val="restart"/>
            <w:tcBorders/>
          </w:tcPr>
          <w:p>
            <w:pPr>
              <w:pStyle w:val="Normal"/>
              <w:widowControl w:val="false"/>
              <w:rPr/>
            </w:pPr>
            <w:r>
              <w:rPr/>
            </w:r>
          </w:p>
        </w:tc>
        <w:tc>
          <w:tcPr>
            <w:tcW w:w="5219" w:type="dxa"/>
            <w:tcBorders/>
            <w:vAlign w:val="bottom"/>
          </w:tcPr>
          <w:p>
            <w:pPr>
              <w:pStyle w:val="Normal"/>
              <w:widowControl w:val="false"/>
              <w:jc w:val="center"/>
              <w:rPr/>
            </w:pPr>
            <w:r>
              <w:rPr>
                <w:b/>
              </w:rPr>
              <w:t>"ЗАТВЕРДЖЕНО"</w:t>
            </w:r>
          </w:p>
        </w:tc>
      </w:tr>
      <w:tr>
        <w:trPr>
          <w:trHeight w:val="1940" w:hRule="atLeast"/>
        </w:trPr>
        <w:tc>
          <w:tcPr>
            <w:tcW w:w="4248" w:type="dxa"/>
            <w:vMerge w:val="continue"/>
            <w:tcBorders/>
          </w:tcPr>
          <w:p>
            <w:pPr>
              <w:pStyle w:val="Normal"/>
              <w:widowControl w:val="false"/>
              <w:spacing w:lineRule="auto" w:line="276"/>
              <w:rPr/>
            </w:pPr>
            <w:r>
              <w:rPr/>
            </w:r>
          </w:p>
        </w:tc>
        <w:tc>
          <w:tcPr>
            <w:tcW w:w="5219" w:type="dxa"/>
            <w:tcBorders/>
          </w:tcPr>
          <w:p>
            <w:pPr>
              <w:pStyle w:val="Normal"/>
              <w:widowControl w:val="false"/>
              <w:jc w:val="center"/>
              <w:rPr/>
            </w:pPr>
            <w:r>
              <w:rPr/>
              <w:t>Рішенням уповноваженої особи</w:t>
            </w:r>
          </w:p>
          <w:p>
            <w:pPr>
              <w:pStyle w:val="Normal"/>
              <w:widowControl w:val="false"/>
              <w:jc w:val="center"/>
              <w:rPr/>
            </w:pPr>
            <w:r>
              <w:rPr/>
              <w:t xml:space="preserve">Виконавчого комітету Білоцерківської сільської ради Миргородського району Полтавської області </w:t>
            </w:r>
          </w:p>
          <w:p>
            <w:pPr>
              <w:pStyle w:val="Normal"/>
              <w:widowControl w:val="false"/>
              <w:jc w:val="center"/>
              <w:rPr>
                <w:lang w:val="uk-UA"/>
              </w:rPr>
            </w:pPr>
            <w:r>
              <w:rPr/>
              <w:t xml:space="preserve">від </w:t>
            </w:r>
            <w:r>
              <w:rPr>
                <w:lang w:val="uk-UA"/>
              </w:rPr>
              <w:t>23</w:t>
            </w:r>
            <w:r>
              <w:rPr/>
              <w:t>.06.2022 №</w:t>
            </w:r>
            <w:r>
              <w:rPr>
                <w:u w:val="single"/>
              </w:rPr>
              <w:t xml:space="preserve">  </w:t>
            </w:r>
            <w:r>
              <w:rPr>
                <w:u w:val="single"/>
              </w:rPr>
              <w:t>6</w:t>
            </w:r>
            <w:r>
              <w:rPr>
                <w:lang w:val="uk-UA"/>
              </w:rPr>
              <w:t>_</w:t>
            </w:r>
          </w:p>
        </w:tc>
      </w:tr>
      <w:tr>
        <w:trPr/>
        <w:tc>
          <w:tcPr>
            <w:tcW w:w="9467" w:type="dxa"/>
            <w:gridSpan w:val="2"/>
            <w:tcBorders/>
          </w:tcPr>
          <w:p>
            <w:pPr>
              <w:pStyle w:val="Normal"/>
              <w:widowControl w:val="false"/>
              <w:rPr/>
            </w:pPr>
            <w:r>
              <w:rPr/>
            </w:r>
          </w:p>
        </w:tc>
      </w:tr>
      <w:tr>
        <w:trPr>
          <w:trHeight w:val="1885" w:hRule="atLeast"/>
        </w:trPr>
        <w:tc>
          <w:tcPr>
            <w:tcW w:w="9467" w:type="dxa"/>
            <w:gridSpan w:val="2"/>
            <w:tcBorders/>
          </w:tcPr>
          <w:p>
            <w:pPr>
              <w:pStyle w:val="Normal"/>
              <w:widowControl w:val="false"/>
              <w:rPr/>
            </w:pPr>
            <w:r>
              <w:rPr/>
              <mc:AlternateContent>
                <mc:Choice Requires="wpg">
                  <w:drawing>
                    <wp:anchor behindDoc="0" distT="0" distB="0" distL="0" distR="0" simplePos="0" locked="0" layoutInCell="1" allowOverlap="1" relativeHeight="2" wp14:anchorId="0ECAB3A7">
                      <wp:simplePos x="0" y="0"/>
                      <wp:positionH relativeFrom="column">
                        <wp:posOffset>1371600</wp:posOffset>
                      </wp:positionH>
                      <wp:positionV relativeFrom="paragraph">
                        <wp:posOffset>406400</wp:posOffset>
                      </wp:positionV>
                      <wp:extent cx="3426460" cy="614680"/>
                      <wp:effectExtent l="0" t="0" r="0" b="0"/>
                      <wp:wrapNone/>
                      <wp:docPr id="1" name="Групувати 1"/>
                      <a:graphic xmlns:a="http://schemas.openxmlformats.org/drawingml/2006/main">
                        <a:graphicData uri="http://schemas.microsoft.com/office/word/2010/wordprocessingGroup">
                          <wpg:wgp>
                            <wpg:cNvGrpSpPr/>
                            <wpg:grpSpPr>
                              <a:xfrm>
                                <a:off x="0" y="0"/>
                                <a:ext cx="3425760" cy="614160"/>
                              </a:xfrm>
                            </wpg:grpSpPr>
                            <wpg:grpSp>
                              <wpg:cNvGrpSpPr/>
                              <wpg:grpSpPr>
                                <a:xfrm>
                                  <a:off x="0" y="0"/>
                                  <a:ext cx="3425760" cy="614160"/>
                                </a:xfrm>
                              </wpg:grpSpPr>
                              <wps:wsp>
                                <wps:cNvSpPr/>
                                <wps:spPr>
                                  <a:xfrm>
                                    <a:off x="0" y="0"/>
                                    <a:ext cx="3425760" cy="614160"/>
                                  </a:xfrm>
                                  <a:prstGeom prst="rect">
                                    <a:avLst/>
                                  </a:prstGeom>
                                  <a:noFill/>
                                  <a:ln w="0">
                                    <a:noFill/>
                                  </a:ln>
                                </wps:spPr>
                                <wps:style>
                                  <a:lnRef idx="0"/>
                                  <a:fillRef idx="0"/>
                                  <a:effectRef idx="0"/>
                                  <a:fontRef idx="minor"/>
                                </wps:style>
                                <wps:bodyPr/>
                              </wps:wsp>
                              <wps:wsp>
                                <wps:cNvSpPr/>
                                <wps:spPr>
                                  <a:xfrm>
                                    <a:off x="67320" y="23040"/>
                                    <a:ext cx="3291120" cy="553680"/>
                                  </a:xfrm>
                                  <a:custGeom>
                                    <a:avLst/>
                                    <a:gdLst/>
                                    <a:ahLst/>
                                    <a:rect l="l" t="t" r="r" b="b"/>
                                    <a:pathLst>
                                      <a:path w="3290868" h="553332">
                                        <a:moveTo>
                                          <a:pt x="0" y="0"/>
                                        </a:moveTo>
                                        <a:lnTo>
                                          <a:pt x="0" y="553332"/>
                                        </a:lnTo>
                                        <a:lnTo>
                                          <a:pt x="3290868" y="553332"/>
                                        </a:lnTo>
                                        <a:lnTo>
                                          <a:pt x="3290868" y="0"/>
                                        </a:lnTo>
                                        <a:close/>
                                      </a:path>
                                    </a:pathLst>
                                  </a:custGeom>
                                  <a:noFill/>
                                  <a:ln w="0">
                                    <a:noFill/>
                                  </a:ln>
                                </wps:spPr>
                                <wps:style>
                                  <a:lnRef idx="0"/>
                                  <a:fillRef idx="0"/>
                                  <a:effectRef idx="0"/>
                                  <a:fontRef idx="minor"/>
                                </wps:style>
                                <wps:txbx>
                                  <w:txbxContent>
                                    <w:p>
                                      <w:pPr>
                                        <w:overflowPunct w:val="false"/>
                                        <w:spacing w:before="120" w:after="120" w:lineRule="auto" w:line="240"/>
                                        <w:jc w:val="center"/>
                                        <w:rPr/>
                                      </w:pPr>
                                      <w:r>
                                        <w:rPr>
                                          <w:sz w:val="48"/>
                                          <w:b/>
                                          <w:u w:val="none"/>
                                          <w:dstrike w:val="false"/>
                                          <w:strike w:val="false"/>
                                          <w:i w:val="false"/>
                                          <w:vertAlign w:val="baseline"/>
                                          <w:position w:val="0"/>
                                          <w:spacing w:val="0"/>
                                          <w:szCs w:val="48"/>
                                          <w:bCs/>
                                          <w:iCs w:val="false"/>
                                          <w:smallCaps w:val="false"/>
                                          <w:caps w:val="false"/>
                                          <w:rFonts w:ascii="Calibri" w:hAnsi="Calibri"/>
                                          <w:color w:val="000000"/>
                                          <w:lang w:eastAsia="uk-UA"/>
                                        </w:rPr>
                                        <w:t>ДОКУМЕНТАЦІЯ</w:t>
                                      </w:r>
                                    </w:p>
                                  </w:txbxContent>
                                </wps:txbx>
                                <wps:bodyPr lIns="88920" rIns="88920" tIns="38160" bIns="38160">
                                  <a:noAutofit/>
                                </wps:bodyPr>
                              </wps:wsp>
                            </wpg:grpSp>
                          </wpg:wgp>
                        </a:graphicData>
                      </a:graphic>
                    </wp:anchor>
                  </w:drawing>
                </mc:Choice>
                <mc:Fallback>
                  <w:pict>
                    <v:group id="shape_0" alt="Групувати 1" style="position:absolute;margin-left:108pt;margin-top:32pt;width:269.75pt;height:48.35pt" coordorigin="2160,640" coordsize="5395,967">
                      <v:group id="shape_0" alt="Группа 2" style="position:absolute;left:2160;top:640;width:5395;height:967">
                        <v:rect id="shape_0" ID="Прямоугольник 3" stroked="f" style="position:absolute;left:2160;top:640;width:5394;height:966;mso-wrap-style:none;v-text-anchor:middle">
                          <v:fill o:detectmouseclick="t" on="false"/>
                          <v:stroke color="#3465a4" joinstyle="round" endcap="flat"/>
                          <w10:wrap type="none"/>
                        </v:rect>
                      </v:group>
                    </v:group>
                  </w:pict>
                </mc:Fallback>
              </mc:AlternateContent>
            </w:r>
          </w:p>
        </w:tc>
      </w:tr>
      <w:tr>
        <w:trPr/>
        <w:tc>
          <w:tcPr>
            <w:tcW w:w="9467" w:type="dxa"/>
            <w:gridSpan w:val="2"/>
            <w:tcBorders/>
          </w:tcPr>
          <w:p>
            <w:pPr>
              <w:pStyle w:val="Normal"/>
              <w:widowControl w:val="false"/>
              <w:jc w:val="center"/>
              <w:rPr>
                <w:b/>
                <w:b/>
                <w:sz w:val="28"/>
                <w:szCs w:val="28"/>
                <w:lang w:val="ru-RU"/>
              </w:rPr>
            </w:pPr>
            <w:r>
              <w:rPr>
                <w:b/>
                <w:sz w:val="28"/>
                <w:szCs w:val="28"/>
                <w:lang w:val="ru-RU"/>
              </w:rPr>
              <w:t>щодо проведення спрощеної закупівлі товару за предметом</w:t>
            </w:r>
          </w:p>
        </w:tc>
      </w:tr>
      <w:tr>
        <w:trPr>
          <w:trHeight w:val="756" w:hRule="atLeast"/>
        </w:trPr>
        <w:tc>
          <w:tcPr>
            <w:tcW w:w="9467" w:type="dxa"/>
            <w:gridSpan w:val="2"/>
            <w:tcBorders/>
          </w:tcPr>
          <w:p>
            <w:pPr>
              <w:pStyle w:val="Normal"/>
              <w:widowControl w:val="false"/>
              <w:jc w:val="center"/>
              <w:rPr>
                <w:lang w:val="ru-RU"/>
              </w:rPr>
            </w:pPr>
            <w:r>
              <w:rPr>
                <w:lang w:val="ru-RU"/>
              </w:rPr>
              <w:t>згідно коду ДК 021:2015 (</w:t>
            </w:r>
            <w:r>
              <w:rPr/>
              <w:t>CPV</w:t>
            </w:r>
            <w:r>
              <w:rPr>
                <w:lang w:val="ru-RU"/>
              </w:rPr>
              <w:t xml:space="preserve"> 2008) – 09130000-9 - Нафта і дистиляти</w:t>
            </w:r>
          </w:p>
          <w:p>
            <w:pPr>
              <w:pStyle w:val="Normal"/>
              <w:widowControl w:val="false"/>
              <w:jc w:val="center"/>
              <w:rPr>
                <w:lang w:val="ru-RU"/>
              </w:rPr>
            </w:pPr>
            <w:r>
              <w:rPr>
                <w:lang w:val="ru-RU"/>
              </w:rPr>
            </w:r>
          </w:p>
        </w:tc>
      </w:tr>
      <w:tr>
        <w:trPr>
          <w:trHeight w:val="712" w:hRule="atLeast"/>
        </w:trPr>
        <w:tc>
          <w:tcPr>
            <w:tcW w:w="9467" w:type="dxa"/>
            <w:gridSpan w:val="2"/>
            <w:tcBorders/>
            <w:vAlign w:val="center"/>
          </w:tcPr>
          <w:p>
            <w:pPr>
              <w:pStyle w:val="Normal"/>
              <w:widowControl w:val="false"/>
              <w:ind w:left="-216" w:hanging="0"/>
              <w:jc w:val="center"/>
              <w:rPr>
                <w:sz w:val="28"/>
                <w:szCs w:val="28"/>
                <w:lang w:val="ru-RU"/>
              </w:rPr>
            </w:pPr>
            <w:r>
              <w:rPr>
                <w:sz w:val="28"/>
                <w:szCs w:val="28"/>
                <w:lang w:val="ru-RU"/>
              </w:rPr>
            </w:r>
          </w:p>
        </w:tc>
      </w:tr>
      <w:tr>
        <w:trPr>
          <w:trHeight w:val="1237" w:hRule="atLeast"/>
        </w:trPr>
        <w:tc>
          <w:tcPr>
            <w:tcW w:w="9467" w:type="dxa"/>
            <w:gridSpan w:val="2"/>
            <w:tcBorders/>
          </w:tcPr>
          <w:p>
            <w:pPr>
              <w:pStyle w:val="Normal"/>
              <w:widowControl w:val="false"/>
              <w:jc w:val="center"/>
              <w:rPr>
                <w:b/>
                <w:b/>
                <w:sz w:val="28"/>
                <w:szCs w:val="28"/>
              </w:rPr>
            </w:pPr>
            <w:r>
              <w:rPr>
                <w:b/>
                <w:sz w:val="28"/>
                <w:szCs w:val="28"/>
              </w:rPr>
              <w:t>бензин марки  А-95, дизельне паливо</w:t>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b/>
                <w:b/>
                <w:sz w:val="28"/>
                <w:szCs w:val="28"/>
              </w:rPr>
            </w:pPr>
            <w:r>
              <w:rPr>
                <w:b/>
                <w:sz w:val="28"/>
                <w:szCs w:val="28"/>
              </w:rPr>
            </w:r>
          </w:p>
          <w:p>
            <w:pPr>
              <w:pStyle w:val="Normal"/>
              <w:widowControl w:val="false"/>
              <w:jc w:val="center"/>
              <w:rPr/>
            </w:pPr>
            <w:r>
              <w:rPr/>
            </w:r>
          </w:p>
        </w:tc>
      </w:tr>
      <w:tr>
        <w:trPr>
          <w:trHeight w:val="4426" w:hRule="atLeast"/>
        </w:trPr>
        <w:tc>
          <w:tcPr>
            <w:tcW w:w="9467" w:type="dxa"/>
            <w:gridSpan w:val="2"/>
            <w:tcBorders/>
          </w:tcPr>
          <w:p>
            <w:pPr>
              <w:pStyle w:val="Normal"/>
              <w:widowControl w:val="false"/>
              <w:ind w:left="2340" w:hanging="0"/>
              <w:rPr>
                <w:b/>
                <w:b/>
              </w:rPr>
            </w:pPr>
            <w:r>
              <w:rPr>
                <w:b/>
              </w:rPr>
            </w:r>
          </w:p>
        </w:tc>
      </w:tr>
      <w:tr>
        <w:trPr>
          <w:trHeight w:val="309" w:hRule="atLeast"/>
        </w:trPr>
        <w:tc>
          <w:tcPr>
            <w:tcW w:w="9467" w:type="dxa"/>
            <w:gridSpan w:val="2"/>
            <w:tcBorders/>
          </w:tcPr>
          <w:p>
            <w:pPr>
              <w:pStyle w:val="Normal"/>
              <w:widowControl w:val="false"/>
              <w:jc w:val="center"/>
              <w:rPr>
                <w:b/>
                <w:b/>
              </w:rPr>
            </w:pPr>
            <w:r>
              <w:rPr/>
              <w:t>с. Білоцерківка</w:t>
            </w:r>
          </w:p>
        </w:tc>
      </w:tr>
      <w:tr>
        <w:trPr>
          <w:trHeight w:val="309" w:hRule="atLeast"/>
        </w:trPr>
        <w:tc>
          <w:tcPr>
            <w:tcW w:w="9467" w:type="dxa"/>
            <w:gridSpan w:val="2"/>
            <w:tcBorders/>
          </w:tcPr>
          <w:p>
            <w:pPr>
              <w:pStyle w:val="Normal"/>
              <w:widowControl w:val="false"/>
              <w:jc w:val="center"/>
              <w:rPr>
                <w:b/>
                <w:b/>
              </w:rPr>
            </w:pPr>
            <w:r>
              <w:rPr/>
              <w:t>2022</w:t>
            </w:r>
          </w:p>
        </w:tc>
      </w:tr>
    </w:tbl>
    <w:p>
      <w:pPr>
        <w:sectPr>
          <w:type w:val="nextPage"/>
          <w:pgSz w:w="11906" w:h="16838"/>
          <w:pgMar w:left="1701" w:right="850" w:header="0" w:top="719" w:footer="0" w:bottom="1134" w:gutter="0"/>
          <w:pgNumType w:start="1" w:fmt="decimal"/>
          <w:formProt w:val="false"/>
          <w:textDirection w:val="lrTb"/>
          <w:docGrid w:type="default" w:linePitch="100" w:charSpace="16384"/>
        </w:sectPr>
      </w:pPr>
    </w:p>
    <w:p>
      <w:pPr>
        <w:pStyle w:val="Normal"/>
        <w:ind w:left="-900" w:hanging="0"/>
        <w:rPr>
          <w:b/>
          <w:b/>
          <w:sz w:val="24"/>
          <w:szCs w:val="24"/>
        </w:rPr>
      </w:pPr>
      <w:r>
        <w:rPr>
          <w:b/>
          <w:sz w:val="24"/>
          <w:szCs w:val="24"/>
        </w:rPr>
        <w:t xml:space="preserve">ЗАГАЛЬНІ УМОВИ ЗДІЙСНЕННЯ ЗАКУПІВЛІ: </w:t>
      </w:r>
    </w:p>
    <w:p>
      <w:pPr>
        <w:pStyle w:val="Normal"/>
        <w:ind w:left="-709" w:firstLine="567"/>
        <w:jc w:val="both"/>
        <w:rPr>
          <w:sz w:val="24"/>
          <w:szCs w:val="24"/>
          <w:lang w:val="ru-RU"/>
        </w:rPr>
      </w:pPr>
      <w:r>
        <w:rPr>
          <w:sz w:val="24"/>
          <w:szCs w:val="24"/>
          <w:lang w:val="ru-RU"/>
        </w:rPr>
        <w:t>Вишник О.Ф. є уповноваженою особою Виконавчого комітету Білоцерківської сільської ради Миргородського району Полтавської області (далі – Замовник), яка здійснює дану закупівлю в інтересах Замовника, дотримуючись вимог Закону України «Про публічні закупівлі» від 25.12.2015 року №922-</w:t>
      </w:r>
      <w:r>
        <w:rPr>
          <w:sz w:val="24"/>
          <w:szCs w:val="24"/>
        </w:rPr>
        <w:t>VIII</w:t>
      </w:r>
      <w:r>
        <w:rPr>
          <w:sz w:val="24"/>
          <w:szCs w:val="24"/>
          <w:lang w:val="ru-RU"/>
        </w:rPr>
        <w:t xml:space="preserve"> (далі - Закон) зі змінами та доповненнями із врахуванням вимог інших нормативно-правових актів чинного законодавства в Україні. </w:t>
      </w:r>
    </w:p>
    <w:p>
      <w:pPr>
        <w:pStyle w:val="Normal"/>
        <w:ind w:left="-709" w:firstLine="567"/>
        <w:jc w:val="both"/>
        <w:rPr>
          <w:sz w:val="24"/>
          <w:szCs w:val="24"/>
          <w:lang w:val="ru-RU"/>
        </w:rPr>
      </w:pPr>
      <w:r>
        <w:rPr>
          <w:sz w:val="24"/>
          <w:szCs w:val="24"/>
          <w:lang w:val="ru-RU"/>
        </w:rPr>
        <w:t>Даною документацією передбачено умови та порядок проведення спрощеної закупівлі, в тому числі умови та вимоги, які є необхідними для ефективного вибору Постачальника предмета закупівлі.</w:t>
      </w:r>
    </w:p>
    <w:p>
      <w:pPr>
        <w:pStyle w:val="Normal"/>
        <w:spacing w:before="80" w:after="0"/>
        <w:ind w:left="-902" w:hanging="0"/>
        <w:rPr>
          <w:b/>
          <w:b/>
          <w:sz w:val="24"/>
          <w:szCs w:val="24"/>
          <w:lang w:val="ru-RU"/>
        </w:rPr>
      </w:pPr>
      <w:r>
        <w:rPr>
          <w:b/>
          <w:sz w:val="24"/>
          <w:szCs w:val="24"/>
          <w:lang w:val="ru-RU"/>
        </w:rPr>
        <w:t>ТЕРМІНИ, ЩО ВЖИВАЮТЬСЯ У ДОКУМЕНТАЦІЇ:</w:t>
      </w:r>
    </w:p>
    <w:p>
      <w:pPr>
        <w:pStyle w:val="Normal"/>
        <w:widowControl w:val="false"/>
        <w:ind w:left="-720" w:hanging="0"/>
        <w:jc w:val="both"/>
        <w:rPr>
          <w:sz w:val="23"/>
          <w:szCs w:val="23"/>
          <w:lang w:val="ru-RU"/>
        </w:rPr>
      </w:pPr>
      <w:r>
        <w:rPr>
          <w:b/>
          <w:sz w:val="23"/>
          <w:szCs w:val="23"/>
          <w:lang w:val="ru-RU"/>
        </w:rPr>
        <w:t>Документ</w:t>
      </w:r>
      <w:r>
        <w:rPr>
          <w:sz w:val="23"/>
          <w:szCs w:val="23"/>
          <w:lang w:val="ru-RU"/>
        </w:rPr>
        <w:t xml:space="preserve"> - </w:t>
      </w:r>
      <w:r>
        <w:rPr>
          <w:sz w:val="23"/>
          <w:szCs w:val="23"/>
          <w:highlight w:val="white"/>
          <w:lang w:val="ru-RU"/>
        </w:rPr>
        <w:t>письмове підтвердження фактів та подій, що мають юридичне значення, або з якими чинне законодавство пов'язує виникнення, зміну або припинення прав і обов'язків фізичних або юридичних осіб.</w:t>
      </w:r>
      <w:sdt>
        <w:sdtPr>
          <w:id w:val="1871898639"/>
        </w:sdtPr>
        <w:sdtContent>
          <w:r>
            <w:rPr>
              <w:rFonts w:eastAsia="Gungsuh"/>
              <w:sz w:val="24"/>
              <w:szCs w:val="24"/>
              <w:lang w:val="ru-RU"/>
            </w:rPr>
            <w:t xml:space="preserve"> </w:t>
          </w:r>
          <w:r>
            <w:rPr>
              <w:rFonts w:eastAsia="Gungsuh"/>
              <w:sz w:val="23"/>
              <w:szCs w:val="23"/>
              <w:lang w:val="ru-RU"/>
            </w:rPr>
            <w:t>Документом</w:t>
          </w:r>
          <w:r>
            <w:rPr>
              <w:rFonts w:eastAsia="Gungsuh"/>
              <w:sz w:val="23"/>
              <w:szCs w:val="23"/>
            </w:rPr>
            <w:t> </w:t>
          </w:r>
          <w:r>
            <w:rPr>
              <w:rFonts w:eastAsia="Gungsuh"/>
              <w:sz w:val="23"/>
              <w:szCs w:val="23"/>
              <w:lang w:val="ru-RU"/>
            </w:rPr>
            <w:t>слід розуміти документи, що містять зафіксовану на будь-яких матеріальних носіях інформацію, яка підтверджує чи посвідчує певні події, явища або факти, які спричинили чи здатні спричинити наслідки правового характеру, чи може бути використана як документи − докази у правозастосовчій діяльності, що складаються, видаються чи посвідчуються повноважними (компетентними) особами органів державної влади, місцевого самоврядування, об’єднань громадян, юридичних осіб незалежно від форми власності та організаційно-правової форми, а також окремими громадянами, у тому числі самозайнятими особами, яким законом надано право у зв’язку з їх професійною чи службовою діяльністю складати, видавати чи посвідчувати певні види документів, що складені з дотриманням визначених законом форм та містять передбачені законом реквізити і відомості. До поняття "документ" не відноситься інформація, яка створюється (видається) чи посвідчуються повноважними особами учасника та несе за собою лише інформативний характер (наприклад: довідки, листи, витяги із реєстрів, зразки документів або частково заповнені документи (не мають усіх реквізитів або даних, які передбачаються самим документом), матеріали, малюнки (креслення), буклети та рекламна продукція, відгуки чи подяки). Документи, які надаються на виконання умов даної документації без зазначення даних або реквізитів встановлених (або передбачених) у документах або їх додатках, які надаються у складі пропозиції у вигляді невід'ємних частин документів правочину, або документи надаються вибірковими сторінка (не в цілому) або без додатків, якщо такі передбачені умовами, визначеними у документі(ах) вважаються такими, що не надані в цілому, а тому не можуть достовірно підтвердити відповідність умовам замовника.</w:t>
          </w:r>
        </w:sdtContent>
      </w:sdt>
    </w:p>
    <w:p>
      <w:pPr>
        <w:pStyle w:val="Normal"/>
        <w:widowControl w:val="false"/>
        <w:spacing w:before="96" w:after="0"/>
        <w:ind w:left="-720" w:hanging="0"/>
        <w:jc w:val="both"/>
        <w:rPr>
          <w:sz w:val="23"/>
          <w:szCs w:val="23"/>
          <w:lang w:val="ru-RU"/>
        </w:rPr>
      </w:pPr>
      <w:r>
        <w:rPr>
          <w:b/>
          <w:sz w:val="23"/>
          <w:szCs w:val="23"/>
          <w:lang w:val="ru-RU"/>
        </w:rPr>
        <w:t>Електронний документ</w:t>
      </w:r>
      <w:r>
        <w:rPr>
          <w:sz w:val="23"/>
          <w:szCs w:val="23"/>
          <w:lang w:val="ru-RU"/>
        </w:rPr>
        <w:t xml:space="preserve"> - документ, інформація в якому зафіксована у вигляді електронних даних, включаючи обов’язкові реквізити документа. До поняття "електронний документ" відноситься поняття "документ", на умовах визначених у документації. Оригіналом електронного документа вважається електронний примірник документа з обов’язковими реквізитами, у тому числі з електронним підписом автора або підписом, прирівняним до власноручного підпису відповідно до</w:t>
      </w:r>
      <w:r>
        <w:rPr>
          <w:sz w:val="23"/>
          <w:szCs w:val="23"/>
        </w:rPr>
        <w:t> </w:t>
      </w:r>
      <w:r>
        <w:rPr>
          <w:sz w:val="23"/>
          <w:szCs w:val="23"/>
          <w:lang w:val="ru-RU"/>
        </w:rPr>
        <w:t>Закону України</w:t>
      </w:r>
      <w:r>
        <w:rPr>
          <w:sz w:val="23"/>
          <w:szCs w:val="23"/>
        </w:rPr>
        <w:t> </w:t>
      </w:r>
      <w:r>
        <w:rPr>
          <w:sz w:val="23"/>
          <w:szCs w:val="23"/>
          <w:lang w:val="ru-RU"/>
        </w:rPr>
        <w:t xml:space="preserve">"Про електронні довірчі послуги". </w:t>
      </w:r>
    </w:p>
    <w:p>
      <w:pPr>
        <w:pStyle w:val="Normal"/>
        <w:widowControl w:val="false"/>
        <w:spacing w:before="96" w:after="0"/>
        <w:ind w:left="-720" w:hanging="0"/>
        <w:jc w:val="both"/>
        <w:rPr>
          <w:sz w:val="23"/>
          <w:szCs w:val="23"/>
          <w:lang w:val="ru-RU"/>
        </w:rPr>
      </w:pPr>
      <w:r>
        <w:rPr>
          <w:b/>
          <w:sz w:val="23"/>
          <w:szCs w:val="23"/>
          <w:lang w:val="ru-RU"/>
        </w:rPr>
        <w:t xml:space="preserve">КЕП - </w:t>
      </w:r>
      <w:r>
        <w:rPr>
          <w:sz w:val="23"/>
          <w:szCs w:val="23"/>
          <w:lang w:val="ru-RU"/>
        </w:rPr>
        <w:t>кваліфікований електронний підпис на захищеному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 з використанням засобу кваліфікованого електронного підпису і базується на кваліфікованому сертифікаті відкритого ключа.</w:t>
      </w:r>
    </w:p>
    <w:p>
      <w:pPr>
        <w:pStyle w:val="Normal"/>
        <w:widowControl w:val="false"/>
        <w:spacing w:before="96" w:after="0"/>
        <w:ind w:left="-720" w:hanging="0"/>
        <w:jc w:val="both"/>
        <w:rPr>
          <w:sz w:val="23"/>
          <w:szCs w:val="23"/>
          <w:lang w:val="ru-RU"/>
        </w:rPr>
      </w:pPr>
      <w:r>
        <w:rPr>
          <w:b/>
          <w:sz w:val="23"/>
          <w:szCs w:val="23"/>
          <w:lang w:val="ru-RU"/>
        </w:rPr>
        <w:t>УЕП -</w:t>
      </w:r>
      <w:r>
        <w:rPr>
          <w:sz w:val="23"/>
          <w:szCs w:val="23"/>
          <w:lang w:val="ru-RU"/>
        </w:rPr>
        <w:t xml:space="preserve"> удосконалений електронний підпис на файловому носії у вигляді електронних даних, які додаються підписувачем до інших електронних даних або логічно з ними пов’язуються який створюється використовуються ним як підпис.</w:t>
      </w:r>
    </w:p>
    <w:p>
      <w:pPr>
        <w:pStyle w:val="Normal"/>
        <w:widowControl w:val="false"/>
        <w:spacing w:before="96" w:after="0"/>
        <w:ind w:left="-720" w:hanging="0"/>
        <w:jc w:val="both"/>
        <w:rPr>
          <w:sz w:val="23"/>
          <w:szCs w:val="23"/>
          <w:lang w:val="ru-RU"/>
        </w:rPr>
      </w:pPr>
      <w:r>
        <w:rPr>
          <w:b/>
          <w:sz w:val="23"/>
          <w:szCs w:val="23"/>
          <w:lang w:val="ru-RU"/>
        </w:rPr>
        <w:t>Копія документа або інформації</w:t>
      </w:r>
      <w:r>
        <w:rPr>
          <w:sz w:val="23"/>
          <w:szCs w:val="23"/>
          <w:lang w:val="ru-RU"/>
        </w:rPr>
        <w:t xml:space="preserve"> - файл-зображення, отриманий в результаті сканування (оцифрування) зображення, сканування із дотриманням максимальної автентичності відносно оригіналу. Копія, зроблена із застосуванням сканера, чи цифрового фотоапарату, або інших оптичних та електронних пристроїв, здатних здійснювати переведення візуально зображення в електронний формат для подальшого відтворення його на електронних пристроях із можливою втратою чіткості та повноти кольорів зображення (зокрема тексту) не більше ніж на 5% від загального змісту оригінального примірника. При цьому текстуальна частина повинна бути чітко розпізнана людським оком без застосування сторонніх приладів.</w:t>
      </w:r>
    </w:p>
    <w:p>
      <w:pPr>
        <w:pStyle w:val="Normal"/>
        <w:widowControl w:val="false"/>
        <w:spacing w:before="96" w:after="0"/>
        <w:ind w:left="-720" w:hanging="0"/>
        <w:jc w:val="both"/>
        <w:rPr>
          <w:sz w:val="23"/>
          <w:szCs w:val="23"/>
          <w:lang w:val="ru-RU"/>
        </w:rPr>
      </w:pPr>
      <w:r>
        <w:rPr>
          <w:b/>
          <w:sz w:val="23"/>
          <w:szCs w:val="23"/>
          <w:lang w:val="ru-RU"/>
        </w:rPr>
        <w:t>Персональні дані</w:t>
      </w:r>
      <w:r>
        <w:rPr>
          <w:sz w:val="23"/>
          <w:szCs w:val="23"/>
          <w:lang w:val="ru-RU"/>
        </w:rPr>
        <w:t xml:space="preserve"> - відомості чи сукупність відомостей про фізичну особу, яка ідентифікована або може бути конкретно ідентифікована (згідно до статті 2 Закону України «Про персональні дані»).</w:t>
      </w:r>
    </w:p>
    <w:p>
      <w:pPr>
        <w:sectPr>
          <w:type w:val="nextPage"/>
          <w:pgSz w:w="11906" w:h="16838"/>
          <w:pgMar w:left="1985" w:right="746" w:header="0" w:top="719" w:footer="0" w:bottom="540" w:gutter="0"/>
          <w:pgNumType w:fmt="decimal"/>
          <w:formProt w:val="false"/>
          <w:textDirection w:val="lrTb"/>
          <w:docGrid w:type="default" w:linePitch="100" w:charSpace="16384"/>
        </w:sectPr>
        <w:pStyle w:val="Normal"/>
        <w:widowControl w:val="false"/>
        <w:spacing w:before="96" w:after="0"/>
        <w:ind w:left="-720" w:hanging="0"/>
        <w:jc w:val="both"/>
        <w:rPr>
          <w:b/>
          <w:b/>
          <w:sz w:val="24"/>
          <w:szCs w:val="24"/>
          <w:lang w:val="ru-RU"/>
        </w:rPr>
      </w:pPr>
      <w:r>
        <w:rPr>
          <w:sz w:val="23"/>
          <w:szCs w:val="23"/>
          <w:lang w:val="ru-RU"/>
        </w:rPr>
        <w:t>Поняття</w:t>
      </w:r>
      <w:r>
        <w:rPr>
          <w:b/>
          <w:sz w:val="23"/>
          <w:szCs w:val="23"/>
          <w:lang w:val="ru-RU"/>
        </w:rPr>
        <w:t xml:space="preserve"> «первинний документ» </w:t>
      </w:r>
      <w:r>
        <w:rPr>
          <w:sz w:val="23"/>
          <w:szCs w:val="23"/>
          <w:lang w:val="ru-RU"/>
        </w:rPr>
        <w:t>вживається у значенні та на умовах, визначених ЗУ "Про бухгалтерський облік та фінансову звітність в Україні" від 16.07.1999 року №996-</w:t>
      </w:r>
      <w:r>
        <w:rPr>
          <w:sz w:val="23"/>
          <w:szCs w:val="23"/>
        </w:rPr>
        <w:t>XIV</w:t>
      </w:r>
      <w:r>
        <w:rPr>
          <w:sz w:val="23"/>
          <w:szCs w:val="23"/>
          <w:lang w:val="ru-RU"/>
        </w:rPr>
        <w:t xml:space="preserve"> (зі змінами та доповненнями) та Положенням про документальне забезпечення записів у бухгалтерському обліку, затвердженого Наказом МФУ від 24.05.1995 №88</w:t>
      </w:r>
      <w:r>
        <w:rPr>
          <w:sz w:val="24"/>
          <w:szCs w:val="24"/>
          <w:lang w:val="ru-RU"/>
        </w:rPr>
        <w:t>.</w:t>
      </w:r>
    </w:p>
    <w:p>
      <w:pPr>
        <w:pStyle w:val="Normal"/>
        <w:ind w:left="-900" w:hanging="0"/>
        <w:rPr>
          <w:b/>
          <w:b/>
          <w:sz w:val="24"/>
          <w:szCs w:val="24"/>
          <w:lang w:val="ru-RU"/>
        </w:rPr>
      </w:pPr>
      <w:r>
        <w:rPr>
          <w:b/>
          <w:sz w:val="24"/>
          <w:szCs w:val="24"/>
          <w:lang w:val="ru-RU"/>
        </w:rPr>
        <w:t xml:space="preserve">РОЗДІЛ </w:t>
      </w:r>
      <w:r>
        <w:rPr>
          <w:b/>
          <w:sz w:val="24"/>
          <w:szCs w:val="24"/>
        </w:rPr>
        <w:t>I</w:t>
      </w:r>
      <w:r>
        <w:rPr>
          <w:b/>
          <w:sz w:val="24"/>
          <w:szCs w:val="24"/>
          <w:lang w:val="ru-RU"/>
        </w:rPr>
        <w:t>. УМОВИ ПРИЙНЯТТЯ УЧАСТІ ТА ПОДАННЯ ПРОПОЗИЦІЇ ВІД УЧАСНИКА</w:t>
      </w:r>
    </w:p>
    <w:p>
      <w:pPr>
        <w:pStyle w:val="Normal"/>
        <w:numPr>
          <w:ilvl w:val="0"/>
          <w:numId w:val="2"/>
        </w:numPr>
        <w:ind w:left="-360" w:hanging="540"/>
        <w:jc w:val="both"/>
        <w:rPr>
          <w:sz w:val="24"/>
          <w:szCs w:val="24"/>
          <w:lang w:val="ru-RU"/>
        </w:rPr>
      </w:pPr>
      <w:r>
        <w:rPr>
          <w:sz w:val="24"/>
          <w:szCs w:val="24"/>
          <w:lang w:val="ru-RU"/>
        </w:rPr>
        <w:t xml:space="preserve">Учасник, який виявив бажання прийняти участь у закупівлі, детально ознайомившись із умовами даної закупівлі, технічними, якісними та іншими вимогами до предмета закупівлі, проектом договору повинен надати замовнику підтвердження відповідності своєї пропозиції відносно до встановлених вимог цієї документації. </w:t>
      </w:r>
    </w:p>
    <w:p>
      <w:pPr>
        <w:pStyle w:val="Normal"/>
        <w:numPr>
          <w:ilvl w:val="0"/>
          <w:numId w:val="2"/>
        </w:numPr>
        <w:ind w:left="-360" w:hanging="540"/>
        <w:jc w:val="both"/>
        <w:rPr>
          <w:sz w:val="24"/>
          <w:szCs w:val="24"/>
          <w:lang w:val="ru-RU"/>
        </w:rPr>
      </w:pPr>
      <w:r>
        <w:rPr>
          <w:sz w:val="24"/>
          <w:szCs w:val="24"/>
          <w:lang w:val="ru-RU"/>
        </w:rPr>
        <w:t>Дані про учасника, які введені до електронного майданчика (назва суб’єкта підприємницької діяльності, код ЄДРПОУ (або ідентифікаційний код (для фізичних осіб або фізичних осіб-підприємців)), місцезнаходження, телефон) повинні відповідати даним, які визначені за результатом останніх реєстраційних дій держаного реєстратора в ЄДР (або паспортним даним (для учасників, які є фізичними особами).</w:t>
      </w:r>
    </w:p>
    <w:p>
      <w:pPr>
        <w:pStyle w:val="Normal"/>
        <w:numPr>
          <w:ilvl w:val="0"/>
          <w:numId w:val="2"/>
        </w:numPr>
        <w:ind w:left="-360" w:hanging="540"/>
        <w:jc w:val="both"/>
        <w:rPr>
          <w:sz w:val="24"/>
          <w:szCs w:val="24"/>
          <w:lang w:val="ru-RU"/>
        </w:rPr>
      </w:pPr>
      <w:r>
        <w:rPr>
          <w:sz w:val="24"/>
          <w:szCs w:val="24"/>
          <w:lang w:val="ru-RU"/>
        </w:rPr>
        <w:t>Документи та інформація, які надається учасником даної закупівлі повинні надаватись до кінцевого строку подання пропозицій, визначеному в оголошенні, та завантажується у вигляді електронних документів, виготовлених в процесі сканування (оцифрування) форматі доступному для відображення наданої інформації (структуровані дані у форматі *.</w:t>
      </w:r>
      <w:r>
        <w:rPr>
          <w:sz w:val="24"/>
          <w:szCs w:val="24"/>
        </w:rPr>
        <w:t>pdf</w:t>
      </w:r>
      <w:r>
        <w:rPr>
          <w:sz w:val="24"/>
          <w:szCs w:val="24"/>
          <w:lang w:val="ru-RU"/>
        </w:rPr>
        <w:t>, графічні дані у форматі *.</w:t>
      </w:r>
      <w:r>
        <w:rPr>
          <w:sz w:val="24"/>
          <w:szCs w:val="24"/>
        </w:rPr>
        <w:t>jpg</w:t>
      </w:r>
      <w:r>
        <w:rPr>
          <w:sz w:val="24"/>
          <w:szCs w:val="24"/>
          <w:lang w:val="ru-RU"/>
        </w:rPr>
        <w:t>, *.</w:t>
      </w:r>
      <w:r>
        <w:rPr>
          <w:sz w:val="24"/>
          <w:szCs w:val="24"/>
        </w:rPr>
        <w:t>jpeg</w:t>
      </w:r>
      <w:r>
        <w:rPr>
          <w:sz w:val="24"/>
          <w:szCs w:val="24"/>
          <w:lang w:val="ru-RU"/>
        </w:rPr>
        <w:t>, або архіви даних у форматі *.</w:t>
      </w:r>
      <w:r>
        <w:rPr>
          <w:sz w:val="24"/>
          <w:szCs w:val="24"/>
        </w:rPr>
        <w:t>ZIP</w:t>
      </w:r>
      <w:r>
        <w:rPr>
          <w:sz w:val="24"/>
          <w:szCs w:val="24"/>
          <w:lang w:val="ru-RU"/>
        </w:rPr>
        <w:t>, *.7</w:t>
      </w:r>
      <w:r>
        <w:rPr>
          <w:sz w:val="24"/>
          <w:szCs w:val="24"/>
        </w:rPr>
        <w:t>z</w:t>
      </w:r>
      <w:r>
        <w:rPr>
          <w:sz w:val="24"/>
          <w:szCs w:val="24"/>
          <w:lang w:val="ru-RU"/>
        </w:rPr>
        <w:t>).</w:t>
      </w:r>
    </w:p>
    <w:p>
      <w:pPr>
        <w:pStyle w:val="Normal"/>
        <w:numPr>
          <w:ilvl w:val="0"/>
          <w:numId w:val="2"/>
        </w:numPr>
        <w:ind w:left="-357" w:hanging="540"/>
        <w:jc w:val="both"/>
        <w:rPr>
          <w:sz w:val="24"/>
          <w:szCs w:val="24"/>
          <w:lang w:val="ru-RU"/>
        </w:rPr>
      </w:pPr>
      <w:r>
        <w:rPr>
          <w:sz w:val="24"/>
          <w:szCs w:val="24"/>
          <w:highlight w:val="white"/>
          <w:lang w:val="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r>
        <w:rPr>
          <w:sz w:val="24"/>
          <w:szCs w:val="24"/>
          <w:highlight w:val="white"/>
        </w:rPr>
        <w:t> </w:t>
      </w:r>
      <w:r>
        <w:rPr>
          <w:sz w:val="24"/>
          <w:szCs w:val="24"/>
          <w:highlight w:val="white"/>
          <w:lang w:val="ru-RU"/>
        </w:rPr>
        <w:t>"Про електронні документи та електронний документообіг"</w:t>
      </w:r>
      <w:r>
        <w:rPr>
          <w:sz w:val="24"/>
          <w:szCs w:val="24"/>
          <w:highlight w:val="white"/>
        </w:rPr>
        <w:t> </w:t>
      </w:r>
      <w:r>
        <w:rPr>
          <w:sz w:val="24"/>
          <w:szCs w:val="24"/>
          <w:highlight w:val="white"/>
          <w:lang w:val="ru-RU"/>
        </w:rPr>
        <w:t>та</w:t>
      </w:r>
      <w:r>
        <w:rPr>
          <w:sz w:val="24"/>
          <w:szCs w:val="24"/>
          <w:highlight w:val="white"/>
        </w:rPr>
        <w:t> </w:t>
      </w:r>
      <w:r>
        <w:rPr>
          <w:sz w:val="24"/>
          <w:szCs w:val="24"/>
          <w:highlight w:val="white"/>
          <w:lang w:val="ru-RU"/>
        </w:rPr>
        <w:t>"Про електронні довірчі послуги". Учасники процедури закупівлі подають пропозиції у формі електронного документа чи скан-копій через електронну систему закупівель</w:t>
      </w:r>
      <w:r>
        <w:rPr>
          <w:sz w:val="24"/>
          <w:szCs w:val="24"/>
          <w:lang w:val="ru-RU"/>
        </w:rPr>
        <w:t xml:space="preserve"> з дотриманням наступних вимог:</w:t>
      </w:r>
    </w:p>
    <w:p>
      <w:pPr>
        <w:pStyle w:val="Normal"/>
        <w:widowControl w:val="false"/>
        <w:ind w:left="-357" w:hanging="0"/>
        <w:jc w:val="both"/>
        <w:rPr>
          <w:sz w:val="24"/>
          <w:szCs w:val="24"/>
          <w:lang w:val="ru-RU"/>
        </w:rPr>
      </w:pPr>
      <w:r>
        <w:rPr>
          <w:sz w:val="24"/>
          <w:szCs w:val="24"/>
          <w:lang w:val="ru-RU"/>
        </w:rPr>
        <w:t>Уся інформація, яка надається учасником у складі пропозиції для підтвердження вимог Замовника встановлених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документації.</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пропозицію у разі якщо:</w:t>
      </w:r>
    </w:p>
    <w:p>
      <w:pPr>
        <w:pStyle w:val="Normal"/>
        <w:widowControl w:val="false"/>
        <w:ind w:left="-357" w:hanging="182"/>
        <w:jc w:val="both"/>
        <w:rPr>
          <w:sz w:val="24"/>
          <w:szCs w:val="24"/>
          <w:lang w:val="ru-RU"/>
        </w:rPr>
      </w:pPr>
      <w:r>
        <w:rPr>
          <w:sz w:val="24"/>
          <w:szCs w:val="24"/>
          <w:lang w:val="ru-RU"/>
        </w:rPr>
        <w:t>- у складі пропозиції учасника надано хоча б один документ або інформацію, що виконано у вигляді окремого електронного файлу;</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кожен електронний документ пропозиції окремо у разі якщо: </w:t>
      </w:r>
    </w:p>
    <w:p>
      <w:pPr>
        <w:pStyle w:val="Normal"/>
        <w:widowControl w:val="false"/>
        <w:ind w:left="-357" w:hanging="182"/>
        <w:jc w:val="both"/>
        <w:rPr>
          <w:sz w:val="24"/>
          <w:szCs w:val="24"/>
          <w:lang w:val="ru-RU"/>
        </w:rPr>
      </w:pPr>
      <w:r>
        <w:rPr>
          <w:sz w:val="24"/>
          <w:szCs w:val="24"/>
          <w:lang w:val="ru-RU"/>
        </w:rPr>
        <w:t xml:space="preserve">- документи або інформація в пропозиції виготовлено учасником та надано у формі електронних документів; </w:t>
      </w:r>
    </w:p>
    <w:p>
      <w:pPr>
        <w:pStyle w:val="Normal"/>
        <w:widowControl w:val="false"/>
        <w:ind w:left="-357" w:hanging="0"/>
        <w:jc w:val="both"/>
        <w:rPr>
          <w:sz w:val="24"/>
          <w:szCs w:val="24"/>
          <w:lang w:val="ru-RU"/>
        </w:rPr>
      </w:pPr>
      <w:r>
        <w:rPr>
          <w:sz w:val="24"/>
          <w:szCs w:val="24"/>
          <w:lang w:val="ru-RU"/>
        </w:rPr>
        <w:t xml:space="preserve">Учасник закупівлі накладає кваліфікований електронний підпис (КЕП) або </w:t>
      </w:r>
      <w:r>
        <w:rPr>
          <w:sz w:val="23"/>
          <w:szCs w:val="23"/>
          <w:lang w:val="ru-RU"/>
        </w:rPr>
        <w:t>удосконалений електронний підпис (УЕП)</w:t>
      </w:r>
      <w:r>
        <w:rPr>
          <w:sz w:val="24"/>
          <w:szCs w:val="24"/>
          <w:lang w:val="ru-RU"/>
        </w:rPr>
        <w:t xml:space="preserve"> на пропозицію в цілому та на кожен електронний документ окремо у разі якщо:</w:t>
      </w:r>
    </w:p>
    <w:p>
      <w:pPr>
        <w:pStyle w:val="Normal"/>
        <w:widowControl w:val="false"/>
        <w:ind w:left="-357" w:hanging="182"/>
        <w:jc w:val="both"/>
        <w:rPr>
          <w:sz w:val="24"/>
          <w:szCs w:val="24"/>
          <w:lang w:val="ru-RU"/>
        </w:rPr>
      </w:pPr>
      <w:r>
        <w:rPr>
          <w:sz w:val="24"/>
          <w:szCs w:val="24"/>
          <w:lang w:val="ru-RU"/>
        </w:rPr>
        <w:t xml:space="preserve">- пропозиція учасника містить як скановані, так і електронні документи та/або інформацію. </w:t>
      </w:r>
    </w:p>
    <w:p>
      <w:pPr>
        <w:pStyle w:val="Normal"/>
        <w:widowControl w:val="false"/>
        <w:ind w:left="-357" w:hanging="0"/>
        <w:jc w:val="both"/>
        <w:rPr>
          <w:sz w:val="24"/>
          <w:szCs w:val="24"/>
          <w:lang w:val="ru-RU"/>
        </w:rPr>
      </w:pPr>
      <w:r>
        <w:rPr>
          <w:sz w:val="24"/>
          <w:szCs w:val="24"/>
          <w:lang w:val="ru-RU"/>
        </w:rPr>
        <w:t xml:space="preserve">У разі якщо електронні документи пропозиції видано іншою організацією з попереднім накладенням кваліфікованого електронного підпису (КЕП) або </w:t>
      </w:r>
      <w:r>
        <w:rPr>
          <w:sz w:val="23"/>
          <w:szCs w:val="23"/>
          <w:lang w:val="ru-RU"/>
        </w:rPr>
        <w:t>удосконаленого електронного підпису (УЕП)</w:t>
      </w:r>
      <w:r>
        <w:rPr>
          <w:sz w:val="24"/>
          <w:szCs w:val="24"/>
          <w:lang w:val="ru-RU"/>
        </w:rPr>
        <w:t xml:space="preserve"> такої організації, накладання КЕП або УЕП учасником на такі електронні документи не вимагається умовами документації. </w:t>
      </w:r>
    </w:p>
    <w:p>
      <w:pPr>
        <w:pStyle w:val="Normal"/>
        <w:widowControl w:val="false"/>
        <w:ind w:left="-357" w:hanging="0"/>
        <w:jc w:val="both"/>
        <w:rPr>
          <w:sz w:val="24"/>
          <w:szCs w:val="24"/>
          <w:lang w:val="ru-RU"/>
        </w:rPr>
      </w:pPr>
      <w:r>
        <w:rPr>
          <w:sz w:val="24"/>
          <w:szCs w:val="24"/>
          <w:lang w:val="ru-RU"/>
        </w:rPr>
        <w:t xml:space="preserve">Умовами документації передбачена перевірка Замовником кваліфікованого електронного підпису (КЕП) або </w:t>
      </w:r>
      <w:r>
        <w:rPr>
          <w:sz w:val="23"/>
          <w:szCs w:val="23"/>
          <w:lang w:val="ru-RU"/>
        </w:rPr>
        <w:t xml:space="preserve">удосконаленого електронного підпису (УЕП) </w:t>
      </w:r>
      <w:r>
        <w:rPr>
          <w:sz w:val="24"/>
          <w:szCs w:val="24"/>
          <w:lang w:val="ru-RU"/>
        </w:rPr>
        <w:t xml:space="preserve">Учасника за допомогою ресурсу центрального засвідчувального органу за посиланням </w:t>
      </w:r>
      <w:r>
        <w:rPr>
          <w:sz w:val="24"/>
          <w:szCs w:val="24"/>
        </w:rPr>
        <w:t>https</w:t>
      </w:r>
      <w:r>
        <w:rPr>
          <w:sz w:val="24"/>
          <w:szCs w:val="24"/>
          <w:lang w:val="ru-RU"/>
        </w:rPr>
        <w:t>://</w:t>
      </w:r>
      <w:r>
        <w:rPr>
          <w:sz w:val="24"/>
          <w:szCs w:val="24"/>
        </w:rPr>
        <w:t>czo</w:t>
      </w:r>
      <w:r>
        <w:rPr>
          <w:sz w:val="24"/>
          <w:szCs w:val="24"/>
          <w:lang w:val="ru-RU"/>
        </w:rPr>
        <w:t>.</w:t>
      </w:r>
      <w:r>
        <w:rPr>
          <w:sz w:val="24"/>
          <w:szCs w:val="24"/>
        </w:rPr>
        <w:t>gov</w:t>
      </w:r>
      <w:r>
        <w:rPr>
          <w:sz w:val="24"/>
          <w:szCs w:val="24"/>
          <w:lang w:val="ru-RU"/>
        </w:rPr>
        <w:t>.</w:t>
      </w:r>
      <w:r>
        <w:rPr>
          <w:sz w:val="24"/>
          <w:szCs w:val="24"/>
        </w:rPr>
        <w:t>ua</w:t>
      </w:r>
      <w:r>
        <w:rPr>
          <w:sz w:val="24"/>
          <w:szCs w:val="24"/>
          <w:lang w:val="ru-RU"/>
        </w:rPr>
        <w:t>/</w:t>
      </w:r>
      <w:r>
        <w:rPr>
          <w:sz w:val="24"/>
          <w:szCs w:val="24"/>
        </w:rPr>
        <w:t>verify</w:t>
      </w:r>
      <w:r>
        <w:rPr>
          <w:sz w:val="24"/>
          <w:szCs w:val="24"/>
          <w:lang w:val="ru-RU"/>
        </w:rPr>
        <w:t xml:space="preserve">. </w:t>
      </w:r>
    </w:p>
    <w:p>
      <w:pPr>
        <w:pStyle w:val="Normal"/>
        <w:numPr>
          <w:ilvl w:val="0"/>
          <w:numId w:val="2"/>
        </w:numPr>
        <w:ind w:left="-360" w:hanging="540"/>
        <w:jc w:val="both"/>
        <w:rPr>
          <w:sz w:val="24"/>
          <w:szCs w:val="24"/>
          <w:lang w:val="ru-RU"/>
        </w:rPr>
      </w:pPr>
      <w:r>
        <w:rPr>
          <w:sz w:val="24"/>
          <w:szCs w:val="24"/>
          <w:lang w:val="ru-RU"/>
        </w:rPr>
        <w:t xml:space="preserve">В ході перевірки кваліфікованого електронного підпису КЕП або </w:t>
      </w:r>
      <w:r>
        <w:rPr>
          <w:sz w:val="23"/>
          <w:szCs w:val="23"/>
          <w:lang w:val="ru-RU"/>
        </w:rPr>
        <w:t>удосконаленого електронного підпису УЕП</w:t>
      </w:r>
      <w:r>
        <w:rPr>
          <w:sz w:val="24"/>
          <w:szCs w:val="24"/>
          <w:lang w:val="ru-RU"/>
        </w:rPr>
        <w:t xml:space="preserve"> повинні відображатися прізвище та ініціали особи, уповноваженої на підписання пропозиції (власника ключа), тип носія особистого ключа, тип підпису, час підпису, тип носія особистого ключа</w:t>
      </w:r>
      <w:r>
        <w:rPr>
          <w:sz w:val="24"/>
          <w:szCs w:val="24"/>
          <w:highlight w:val="white"/>
          <w:lang w:val="ru-RU"/>
        </w:rPr>
        <w:t>.</w:t>
      </w:r>
    </w:p>
    <w:p>
      <w:pPr>
        <w:pStyle w:val="Normal"/>
        <w:numPr>
          <w:ilvl w:val="0"/>
          <w:numId w:val="2"/>
        </w:numPr>
        <w:ind w:left="-360" w:hanging="540"/>
        <w:jc w:val="both"/>
        <w:rPr>
          <w:sz w:val="24"/>
          <w:szCs w:val="24"/>
          <w:lang w:val="ru-RU"/>
        </w:rPr>
      </w:pPr>
      <w:r>
        <w:rPr>
          <w:sz w:val="24"/>
          <w:szCs w:val="24"/>
          <w:lang w:val="ru-RU"/>
        </w:rPr>
        <w:t>Відсутність будь-яких запитань або уточнень з боку учасників процедури закупівлі зареєстрованих у системі публічних закупівель в період уточнень стосовно змісту та викладених вимог у Документації означатиме, що учасник(и) процедури закупівлі, що бере(уть) участь в даній закупівлі, повністю усвідомлює(ють) зміст цієї Документації та вимоги, викладені Замовником її умовами.</w:t>
      </w:r>
    </w:p>
    <w:p>
      <w:pPr>
        <w:sectPr>
          <w:type w:val="nextPage"/>
          <w:pgSz w:w="11906" w:h="16838"/>
          <w:pgMar w:left="1701" w:right="850" w:header="0" w:top="719" w:footer="0" w:bottom="1134" w:gutter="0"/>
          <w:pgNumType w:fmt="decimal"/>
          <w:formProt w:val="false"/>
          <w:textDirection w:val="lrTb"/>
          <w:docGrid w:type="default" w:linePitch="100" w:charSpace="16384"/>
        </w:sectPr>
        <w:pStyle w:val="Normal"/>
        <w:numPr>
          <w:ilvl w:val="0"/>
          <w:numId w:val="2"/>
        </w:numPr>
        <w:ind w:left="-360" w:hanging="540"/>
        <w:jc w:val="both"/>
        <w:rPr>
          <w:sz w:val="24"/>
          <w:szCs w:val="24"/>
          <w:lang w:val="ru-RU"/>
        </w:rPr>
      </w:pPr>
      <w:r>
        <w:rPr>
          <w:sz w:val="24"/>
          <w:szCs w:val="24"/>
          <w:lang w:val="ru-RU"/>
        </w:rPr>
        <w:t>Кожен учасник має право подати тільки одну пропозицію (у тому числі до визначеної в Документації частини предмета закупівлі (лота), якщо умовами оголошення передбачено поділ предмета закупівлі на частини).</w:t>
      </w:r>
    </w:p>
    <w:p>
      <w:pPr>
        <w:pStyle w:val="Normal"/>
        <w:rPr>
          <w:b/>
          <w:b/>
          <w:sz w:val="24"/>
          <w:szCs w:val="24"/>
          <w:lang w:val="ru-RU"/>
        </w:rPr>
      </w:pPr>
      <w:r>
        <w:rPr>
          <w:b/>
          <w:sz w:val="24"/>
          <w:szCs w:val="24"/>
          <w:lang w:val="ru-RU"/>
        </w:rPr>
        <w:t xml:space="preserve">РОЗДІЛ </w:t>
      </w:r>
      <w:r>
        <w:rPr>
          <w:b/>
          <w:sz w:val="24"/>
          <w:szCs w:val="24"/>
        </w:rPr>
        <w:t>II</w:t>
      </w:r>
      <w:r>
        <w:rPr>
          <w:b/>
          <w:sz w:val="24"/>
          <w:szCs w:val="24"/>
          <w:lang w:val="ru-RU"/>
        </w:rPr>
        <w:t>. ТЕХНІЧНІ ВИМОГИ ДО ПРЕДМЕТА ЗАКУПІВЛІ</w:t>
      </w:r>
    </w:p>
    <w:p>
      <w:pPr>
        <w:pStyle w:val="Normal"/>
        <w:rPr>
          <w:b/>
          <w:b/>
          <w:lang w:val="ru-RU"/>
        </w:rPr>
      </w:pPr>
      <w:r>
        <w:rPr>
          <w:b/>
          <w:lang w:val="ru-RU"/>
        </w:rPr>
      </w:r>
    </w:p>
    <w:p>
      <w:pPr>
        <w:pStyle w:val="Normal"/>
        <w:rPr>
          <w:b/>
          <w:b/>
          <w:sz w:val="24"/>
          <w:szCs w:val="24"/>
          <w:lang w:val="ru-RU"/>
        </w:rPr>
      </w:pPr>
      <w:r>
        <w:rPr>
          <w:sz w:val="24"/>
          <w:szCs w:val="24"/>
          <w:lang w:val="ru-RU"/>
        </w:rPr>
        <w:t xml:space="preserve">РОЗДІЛ </w:t>
      </w:r>
      <w:r>
        <w:rPr>
          <w:sz w:val="24"/>
          <w:szCs w:val="24"/>
        </w:rPr>
        <w:t>II</w:t>
      </w:r>
      <w:r>
        <w:rPr>
          <w:sz w:val="24"/>
          <w:szCs w:val="24"/>
          <w:lang w:val="ru-RU"/>
        </w:rPr>
        <w:t>.</w:t>
      </w:r>
      <w:r>
        <w:rPr>
          <w:sz w:val="24"/>
          <w:szCs w:val="24"/>
        </w:rPr>
        <w:t>I</w:t>
      </w:r>
      <w:r>
        <w:rPr>
          <w:sz w:val="24"/>
          <w:szCs w:val="24"/>
          <w:lang w:val="ru-RU"/>
        </w:rPr>
        <w:t>.</w:t>
      </w:r>
      <w:r>
        <w:rPr>
          <w:b/>
          <w:sz w:val="24"/>
          <w:szCs w:val="24"/>
          <w:lang w:val="ru-RU"/>
        </w:rPr>
        <w:t xml:space="preserve"> ЗАГАЛЬНІ ВИМОГИ ДО ПРЕДМЕТА ЗАКУПІВЛІ:</w:t>
      </w:r>
    </w:p>
    <w:p>
      <w:pPr>
        <w:pStyle w:val="Normal"/>
        <w:numPr>
          <w:ilvl w:val="0"/>
          <w:numId w:val="9"/>
        </w:numPr>
        <w:ind w:left="360" w:right="-5" w:hanging="360"/>
        <w:jc w:val="both"/>
        <w:rPr>
          <w:sz w:val="24"/>
          <w:szCs w:val="24"/>
          <w:lang w:val="ru-RU"/>
        </w:rPr>
      </w:pPr>
      <w:bookmarkStart w:id="0" w:name="_heading=h.gjdgxs"/>
      <w:bookmarkEnd w:id="0"/>
      <w:r>
        <w:rPr>
          <w:sz w:val="24"/>
          <w:szCs w:val="24"/>
          <w:lang w:val="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у Документації, зокрема в технічній частині предмета закупівлі.</w:t>
      </w:r>
    </w:p>
    <w:p>
      <w:pPr>
        <w:pStyle w:val="Normal"/>
        <w:numPr>
          <w:ilvl w:val="0"/>
          <w:numId w:val="9"/>
        </w:numPr>
        <w:spacing w:before="100" w:after="0"/>
        <w:ind w:left="360" w:right="-5" w:hanging="360"/>
        <w:jc w:val="both"/>
        <w:rPr>
          <w:sz w:val="24"/>
          <w:szCs w:val="24"/>
        </w:rPr>
      </w:pPr>
      <w:r>
        <w:rPr>
          <w:sz w:val="24"/>
          <w:szCs w:val="24"/>
          <w:lang w:val="ru-RU"/>
        </w:rPr>
        <w:t xml:space="preserve">Зміст пропозиції учасника не повинна суперечити пункту 10 частини першої статті 4 Закону України «Про санкції»* щодо </w:t>
      </w:r>
      <w:r>
        <w:rPr>
          <w:sz w:val="24"/>
          <w:szCs w:val="24"/>
          <w:highlight w:val="white"/>
          <w:lang w:val="ru-RU"/>
        </w:rPr>
        <w:t xml:space="preserve">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w:t>
      </w:r>
      <w:r>
        <w:rPr>
          <w:sz w:val="24"/>
          <w:szCs w:val="24"/>
          <w:highlight w:val="white"/>
        </w:rPr>
        <w:t>України.</w:t>
      </w:r>
    </w:p>
    <w:p>
      <w:pPr>
        <w:pStyle w:val="Normal"/>
        <w:rPr>
          <w:sz w:val="24"/>
          <w:szCs w:val="24"/>
        </w:rPr>
      </w:pPr>
      <w:r>
        <w:rPr>
          <w:sz w:val="24"/>
          <w:szCs w:val="24"/>
        </w:rPr>
      </w:r>
    </w:p>
    <w:p>
      <w:pPr>
        <w:pStyle w:val="Normal"/>
        <w:rPr>
          <w:sz w:val="24"/>
          <w:szCs w:val="24"/>
          <w:lang w:val="ru-RU"/>
        </w:rPr>
      </w:pPr>
      <w:r>
        <w:rPr>
          <w:sz w:val="24"/>
          <w:szCs w:val="24"/>
          <w:lang w:val="ru-RU"/>
        </w:rPr>
        <w:t xml:space="preserve">РОЗДІЛ </w:t>
      </w:r>
      <w:r>
        <w:rPr>
          <w:sz w:val="24"/>
          <w:szCs w:val="24"/>
        </w:rPr>
        <w:t>II</w:t>
      </w:r>
      <w:r>
        <w:rPr>
          <w:sz w:val="24"/>
          <w:szCs w:val="24"/>
          <w:lang w:val="ru-RU"/>
        </w:rPr>
        <w:t>.</w:t>
      </w:r>
      <w:r>
        <w:rPr>
          <w:sz w:val="24"/>
          <w:szCs w:val="24"/>
        </w:rPr>
        <w:t>II</w:t>
      </w:r>
      <w:r>
        <w:rPr>
          <w:sz w:val="24"/>
          <w:szCs w:val="24"/>
          <w:lang w:val="ru-RU"/>
        </w:rPr>
        <w:t>.</w:t>
      </w:r>
      <w:r>
        <w:rPr>
          <w:b/>
          <w:sz w:val="24"/>
          <w:szCs w:val="24"/>
          <w:lang w:val="ru-RU"/>
        </w:rPr>
        <w:t xml:space="preserve"> ТЕХНІЧНІ ТА ЯКІСНІ ВИМОГИ ДО ПРЕДМЕТА ЗАКУПІВЛІ</w:t>
      </w:r>
    </w:p>
    <w:p>
      <w:pPr>
        <w:pStyle w:val="Normal"/>
        <w:jc w:val="right"/>
        <w:rPr>
          <w:i/>
          <w:i/>
        </w:rPr>
      </w:pPr>
      <w:r>
        <w:rPr>
          <w:i/>
        </w:rPr>
        <w:t>Таблиця 1</w:t>
      </w:r>
    </w:p>
    <w:tbl>
      <w:tblPr>
        <w:tblW w:w="9839"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422"/>
        <w:gridCol w:w="3420"/>
        <w:gridCol w:w="1618"/>
        <w:gridCol w:w="1802"/>
        <w:gridCol w:w="2577"/>
      </w:tblGrid>
      <w:tr>
        <w:trPr/>
        <w:tc>
          <w:tcPr>
            <w:tcW w:w="422"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color w:val="FFFFFF"/>
              </w:rPr>
            </w:pPr>
            <w:r>
              <w:rPr>
                <w:color w:val="FFFFFF"/>
              </w:rPr>
              <w:t xml:space="preserve">№ </w:t>
            </w:r>
            <w:r>
              <w:rPr>
                <w:color w:val="FFFFFF"/>
              </w:rPr>
              <w:t>п/п</w:t>
            </w:r>
          </w:p>
        </w:tc>
        <w:tc>
          <w:tcPr>
            <w:tcW w:w="3420"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НАЙМЕНУВАННЯ ПРЕДМЕТА ЗАКУПІВЛІ</w:t>
            </w:r>
          </w:p>
        </w:tc>
        <w:tc>
          <w:tcPr>
            <w:tcW w:w="1618"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ОБСЯГ У РАЗІ ЗАКУПІВЛІ</w:t>
            </w:r>
          </w:p>
        </w:tc>
        <w:tc>
          <w:tcPr>
            <w:tcW w:w="1802"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СПОСІБ ПОСТАЧАННЯ ТОВАРІВ</w:t>
            </w:r>
          </w:p>
        </w:tc>
        <w:tc>
          <w:tcPr>
            <w:tcW w:w="2577" w:type="dxa"/>
            <w:tcBorders>
              <w:top w:val="single" w:sz="4" w:space="0" w:color="000000"/>
              <w:left w:val="single" w:sz="4" w:space="0" w:color="000000"/>
              <w:bottom w:val="single" w:sz="4" w:space="0" w:color="000000"/>
              <w:right w:val="single" w:sz="4" w:space="0" w:color="000000"/>
            </w:tcBorders>
            <w:shd w:color="auto" w:fill="000000" w:val="clear"/>
            <w:vAlign w:val="center"/>
          </w:tcPr>
          <w:p>
            <w:pPr>
              <w:pStyle w:val="Normal"/>
              <w:widowControl w:val="false"/>
              <w:jc w:val="center"/>
              <w:rPr>
                <w:b/>
                <w:b/>
                <w:smallCaps/>
                <w:color w:val="FFFFFF"/>
              </w:rPr>
            </w:pPr>
            <w:r>
              <w:rPr>
                <w:b/>
                <w:smallCaps/>
                <w:color w:val="FFFFFF"/>
                <w:sz w:val="22"/>
                <w:szCs w:val="22"/>
              </w:rPr>
              <w:t>ПЕРІОД ПОСТАЧАННЯ ТОВАРУ(ІВ)</w:t>
            </w:r>
          </w:p>
        </w:tc>
      </w:tr>
      <w:tr>
        <w:trPr>
          <w:trHeight w:val="1160"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t>1.</w:t>
            </w:r>
          </w:p>
        </w:tc>
        <w:tc>
          <w:tcPr>
            <w:tcW w:w="3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lang w:val="ru-RU"/>
              </w:rPr>
            </w:pPr>
            <w:r>
              <w:rPr>
                <w:b/>
                <w:color w:val="000000"/>
                <w:lang w:val="ru-RU"/>
              </w:rPr>
              <w:t xml:space="preserve">бензин А-95 </w:t>
            </w:r>
          </w:p>
          <w:p>
            <w:pPr>
              <w:pStyle w:val="Normal"/>
              <w:widowControl w:val="false"/>
              <w:jc w:val="center"/>
              <w:rPr>
                <w:b/>
                <w:b/>
                <w:color w:val="000000"/>
                <w:lang w:val="ru-RU"/>
              </w:rPr>
            </w:pPr>
            <w:r>
              <w:rPr>
                <w:b/>
                <w:color w:val="000000"/>
                <w:lang w:val="ru-RU"/>
              </w:rPr>
            </w:r>
          </w:p>
          <w:p>
            <w:pPr>
              <w:pStyle w:val="Normal"/>
              <w:widowControl w:val="false"/>
              <w:jc w:val="center"/>
              <w:rPr>
                <w:i/>
                <w:i/>
                <w:lang w:val="ru-RU"/>
              </w:rPr>
            </w:pPr>
            <w:r>
              <w:rPr>
                <w:i/>
                <w:lang w:val="ru-RU"/>
              </w:rPr>
              <w:t>згідно коду ДК 021:2015 (</w:t>
            </w:r>
            <w:r>
              <w:rPr>
                <w:i/>
              </w:rPr>
              <w:t>CPV</w:t>
            </w:r>
            <w:r>
              <w:rPr>
                <w:i/>
                <w:lang w:val="ru-RU"/>
              </w:rPr>
              <w:t xml:space="preserve"> 2008) – 09130000-9 - Нафта і дистиляти</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b/>
                <w:b/>
              </w:rPr>
            </w:pPr>
            <w:r>
              <w:rPr>
                <w:b/>
              </w:rPr>
              <w:t>200 л</w:t>
            </w:r>
          </w:p>
          <w:p>
            <w:pPr>
              <w:pStyle w:val="Normal"/>
              <w:widowControl w:val="false"/>
              <w:ind w:right="-108" w:hanging="0"/>
              <w:jc w:val="center"/>
              <w:rPr>
                <w:b/>
                <w:b/>
              </w:rPr>
            </w:pPr>
            <w:r>
              <w:rPr>
                <w:b/>
              </w:rPr>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lang w:val="ru-RU"/>
              </w:rPr>
            </w:pPr>
            <w:r>
              <w:rPr>
                <w:b/>
                <w:lang w:val="ru-RU"/>
              </w:rPr>
              <w:t>за адресами власних та/або орендованих та/або партнерських АЗС учасника-переможця</w:t>
            </w:r>
          </w:p>
          <w:p>
            <w:pPr>
              <w:pStyle w:val="Normal"/>
              <w:widowControl w:val="false"/>
              <w:jc w:val="center"/>
              <w:rPr>
                <w:b/>
                <w:b/>
                <w:color w:val="000000"/>
                <w:lang w:val="ru-RU"/>
              </w:rPr>
            </w:pPr>
            <w:r>
              <w:rPr>
                <w:b/>
                <w:color w:val="000000"/>
                <w:lang w:val="ru-RU"/>
              </w:rPr>
            </w:r>
          </w:p>
        </w:tc>
        <w:tc>
          <w:tcPr>
            <w:tcW w:w="2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ru-RU"/>
              </w:rPr>
            </w:pPr>
            <w:r>
              <w:rPr>
                <w:color w:val="000000"/>
                <w:lang w:val="ru-RU"/>
              </w:rPr>
              <w:t>протягом строку визначеного умовами Договору</w:t>
            </w:r>
          </w:p>
          <w:p>
            <w:pPr>
              <w:pStyle w:val="Normal"/>
              <w:widowControl w:val="false"/>
              <w:jc w:val="center"/>
              <w:rPr>
                <w:b/>
                <w:b/>
                <w:sz w:val="24"/>
                <w:szCs w:val="24"/>
                <w:lang w:val="ru-RU"/>
              </w:rPr>
            </w:pPr>
            <w:r>
              <w:rPr>
                <w:lang w:val="ru-RU"/>
              </w:rPr>
              <w:t>(</w:t>
            </w:r>
            <w:r>
              <w:rPr>
                <w:color w:val="000000"/>
                <w:lang w:val="ru-RU"/>
              </w:rPr>
              <w:t>до 31.12.2022 року)</w:t>
            </w:r>
          </w:p>
        </w:tc>
      </w:tr>
      <w:tr>
        <w:trPr>
          <w:trHeight w:val="1160" w:hRule="atLeast"/>
        </w:trPr>
        <w:tc>
          <w:tcPr>
            <w:tcW w:w="42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rPr>
            </w:pPr>
            <w:r>
              <w:rPr/>
              <w:t>2.</w:t>
            </w:r>
          </w:p>
        </w:tc>
        <w:tc>
          <w:tcPr>
            <w:tcW w:w="34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000000"/>
                <w:lang w:val="ru-RU"/>
              </w:rPr>
            </w:pPr>
            <w:r>
              <w:rPr>
                <w:b/>
                <w:color w:val="000000"/>
                <w:lang w:val="ru-RU"/>
              </w:rPr>
              <w:t xml:space="preserve">дизельне паливо </w:t>
            </w:r>
          </w:p>
          <w:p>
            <w:pPr>
              <w:pStyle w:val="Normal"/>
              <w:widowControl w:val="false"/>
              <w:jc w:val="center"/>
              <w:rPr>
                <w:b/>
                <w:b/>
                <w:color w:val="000000"/>
                <w:lang w:val="ru-RU"/>
              </w:rPr>
            </w:pPr>
            <w:r>
              <w:rPr>
                <w:b/>
                <w:color w:val="000000"/>
                <w:lang w:val="ru-RU"/>
              </w:rPr>
            </w:r>
          </w:p>
          <w:p>
            <w:pPr>
              <w:pStyle w:val="Normal"/>
              <w:widowControl w:val="false"/>
              <w:jc w:val="center"/>
              <w:rPr>
                <w:b/>
                <w:b/>
                <w:color w:val="000000"/>
                <w:lang w:val="ru-RU"/>
              </w:rPr>
            </w:pPr>
            <w:r>
              <w:rPr>
                <w:i/>
                <w:lang w:val="ru-RU"/>
              </w:rPr>
              <w:t>згідно коду ДК 021:2015 (</w:t>
            </w:r>
            <w:r>
              <w:rPr>
                <w:i/>
              </w:rPr>
              <w:t>CPV</w:t>
            </w:r>
            <w:r>
              <w:rPr>
                <w:i/>
                <w:lang w:val="ru-RU"/>
              </w:rPr>
              <w:t xml:space="preserve"> 2008) – 09130000-9 - Нафта і дистиляти</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8" w:hanging="0"/>
              <w:jc w:val="center"/>
              <w:rPr>
                <w:b/>
                <w:b/>
              </w:rPr>
            </w:pPr>
            <w:r>
              <w:rPr>
                <w:b/>
              </w:rPr>
              <w:t>800 л</w:t>
            </w:r>
          </w:p>
          <w:p>
            <w:pPr>
              <w:pStyle w:val="Normal"/>
              <w:widowControl w:val="false"/>
              <w:ind w:right="-108" w:hanging="0"/>
              <w:jc w:val="center"/>
              <w:rPr>
                <w:b/>
                <w:b/>
              </w:rPr>
            </w:pPr>
            <w:r>
              <w:rPr>
                <w:b/>
              </w:rPr>
            </w:r>
          </w:p>
        </w:tc>
        <w:tc>
          <w:tcPr>
            <w:tcW w:w="18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lang w:val="ru-RU"/>
              </w:rPr>
            </w:pPr>
            <w:r>
              <w:rPr>
                <w:b/>
                <w:lang w:val="ru-RU"/>
              </w:rPr>
              <w:t>за адресами власних та/або орендованих та/або партнерських АЗС учасника-переможця</w:t>
            </w:r>
          </w:p>
        </w:tc>
        <w:tc>
          <w:tcPr>
            <w:tcW w:w="25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sz w:val="24"/>
                <w:szCs w:val="24"/>
                <w:lang w:val="ru-RU"/>
              </w:rPr>
            </w:pPr>
            <w:r>
              <w:rPr>
                <w:color w:val="000000"/>
                <w:lang w:val="ru-RU"/>
              </w:rPr>
              <w:t>протягом строку визначеного умовами Договору</w:t>
            </w:r>
          </w:p>
          <w:p>
            <w:pPr>
              <w:pStyle w:val="Normal"/>
              <w:widowControl w:val="false"/>
              <w:jc w:val="center"/>
              <w:rPr>
                <w:color w:val="000000"/>
                <w:lang w:val="ru-RU"/>
              </w:rPr>
            </w:pPr>
            <w:r>
              <w:rPr>
                <w:lang w:val="ru-RU"/>
              </w:rPr>
              <w:t>(</w:t>
            </w:r>
            <w:r>
              <w:rPr>
                <w:color w:val="000000"/>
                <w:lang w:val="ru-RU"/>
              </w:rPr>
              <w:t>до 31.12.2022 року)</w:t>
            </w:r>
          </w:p>
        </w:tc>
      </w:tr>
    </w:tbl>
    <w:p>
      <w:pPr>
        <w:pStyle w:val="Normal"/>
        <w:ind w:right="-185" w:hanging="0"/>
        <w:jc w:val="both"/>
        <w:rPr>
          <w:b/>
          <w:b/>
          <w:sz w:val="24"/>
          <w:szCs w:val="24"/>
          <w:lang w:val="ru-RU"/>
        </w:rPr>
      </w:pPr>
      <w:r>
        <w:rPr>
          <w:b/>
          <w:sz w:val="24"/>
          <w:szCs w:val="24"/>
          <w:lang w:val="ru-RU"/>
        </w:rPr>
      </w:r>
    </w:p>
    <w:p>
      <w:pPr>
        <w:pStyle w:val="Normal"/>
        <w:spacing w:before="100" w:after="0"/>
        <w:jc w:val="both"/>
        <w:rPr>
          <w:b/>
          <w:b/>
          <w:color w:val="000000"/>
          <w:sz w:val="24"/>
          <w:szCs w:val="24"/>
          <w:lang w:val="ru-RU"/>
        </w:rPr>
      </w:pPr>
      <w:r>
        <w:rPr>
          <w:color w:val="000000"/>
          <w:sz w:val="24"/>
          <w:szCs w:val="24"/>
          <w:lang w:val="ru-RU"/>
        </w:rPr>
        <w:t>Товар повинен відповідати діючим стандартам якості, зокрема</w:t>
      </w:r>
    </w:p>
    <w:p>
      <w:pPr>
        <w:pStyle w:val="Normal"/>
        <w:spacing w:before="100" w:after="0"/>
        <w:jc w:val="both"/>
        <w:rPr>
          <w:sz w:val="24"/>
          <w:szCs w:val="24"/>
        </w:rPr>
      </w:pPr>
      <w:r>
        <w:rPr>
          <w:b/>
          <w:color w:val="000000"/>
          <w:sz w:val="24"/>
          <w:szCs w:val="24"/>
        </w:rPr>
        <w:t>БЕНЗИН МАРКИ А-95</w:t>
      </w:r>
    </w:p>
    <w:p>
      <w:pPr>
        <w:pStyle w:val="Normal"/>
        <w:jc w:val="right"/>
        <w:rPr>
          <w:sz w:val="24"/>
          <w:szCs w:val="24"/>
        </w:rPr>
      </w:pPr>
      <w:r>
        <w:rPr>
          <w:i/>
          <w:color w:val="121212"/>
          <w:sz w:val="24"/>
          <w:szCs w:val="24"/>
        </w:rPr>
        <w:t>Таблиця 2</w:t>
      </w:r>
    </w:p>
    <w:tbl>
      <w:tblPr>
        <w:tblW w:w="10384" w:type="dxa"/>
        <w:jc w:val="left"/>
        <w:tblInd w:w="0" w:type="dxa"/>
        <w:tblLayout w:type="fixed"/>
        <w:tblCellMar>
          <w:top w:w="0" w:type="dxa"/>
          <w:left w:w="114" w:type="dxa"/>
          <w:bottom w:w="0" w:type="dxa"/>
          <w:right w:w="114" w:type="dxa"/>
        </w:tblCellMar>
        <w:tblLook w:firstRow="0" w:noVBand="1" w:lastRow="0" w:firstColumn="0" w:lastColumn="0" w:noHBand="0" w:val="0400"/>
      </w:tblPr>
      <w:tblGrid>
        <w:gridCol w:w="2777"/>
        <w:gridCol w:w="94"/>
        <w:gridCol w:w="908"/>
        <w:gridCol w:w="3302"/>
        <w:gridCol w:w="3302"/>
      </w:tblGrid>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Атрибути</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Примірні значення атрибутів</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Марка</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b/>
                <w:color w:val="000000"/>
                <w:sz w:val="24"/>
                <w:szCs w:val="24"/>
              </w:rPr>
              <w:t>А-95, АІ-95</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Октанове число: моторний метод</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82,5</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Октанове число: дослідний метод</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95,0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свинцю, мг /дм³</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марганцю, мг / дм³</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18</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Концентрація фактичних смол, мг / 100 см³</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5</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Індукційний період бензину, хв</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менше 360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Вміст сірки, мг / дм³</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150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Об'ємна частка бензолу, %</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більше 1</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Корозія на мідній пластинці, (3 години за температури 50 С</w:t>
            </w:r>
            <w:r>
              <w:rPr>
                <w:color w:val="000000"/>
                <w:sz w:val="14"/>
                <w:szCs w:val="14"/>
                <w:vertAlign w:val="superscript"/>
              </w:rPr>
              <w:t>o</w:t>
            </w:r>
            <w:r>
              <w:rPr>
                <w:color w:val="000000"/>
                <w:sz w:val="24"/>
                <w:szCs w:val="24"/>
                <w:lang w:val="ru-RU"/>
              </w:rPr>
              <w:t>), клас</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1</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Зовнішній вигляд</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Чиста прозора рідина</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Густина за температури 15 С</w:t>
            </w:r>
            <w:r>
              <w:rPr>
                <w:color w:val="000000"/>
                <w:sz w:val="14"/>
                <w:szCs w:val="14"/>
                <w:vertAlign w:val="superscript"/>
              </w:rPr>
              <w:t>o</w:t>
            </w:r>
            <w:r>
              <w:rPr>
                <w:color w:val="000000"/>
                <w:sz w:val="24"/>
                <w:szCs w:val="24"/>
                <w:lang w:val="ru-RU"/>
              </w:rPr>
              <w:t>, кг/м³</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в межах 725-780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Межі кипіння, С</w:t>
            </w:r>
            <w:r>
              <w:rPr>
                <w:color w:val="000000"/>
                <w:sz w:val="14"/>
                <w:szCs w:val="14"/>
                <w:vertAlign w:val="superscript"/>
              </w:rPr>
              <w:t>o</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33-205</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Індукційний період, хв.</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800-900</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Згоряння</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повне</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rPr>
            </w:pPr>
            <w:r>
              <w:rPr>
                <w:color w:val="000000"/>
                <w:sz w:val="24"/>
                <w:szCs w:val="24"/>
              </w:rPr>
              <w:t>Сезонність</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jc w:val="center"/>
              <w:rPr>
                <w:sz w:val="24"/>
                <w:szCs w:val="24"/>
              </w:rPr>
            </w:pPr>
            <w:r>
              <w:rPr>
                <w:color w:val="000000"/>
                <w:sz w:val="24"/>
                <w:szCs w:val="24"/>
              </w:rPr>
              <w:t>не має ознак сезонності</w:t>
            </w:r>
          </w:p>
        </w:tc>
      </w:tr>
      <w:tr>
        <w:trPr>
          <w:trHeight w:val="1" w:hRule="atLeast"/>
        </w:trPr>
        <w:tc>
          <w:tcPr>
            <w:tcW w:w="2871"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Вимоги безпеки і охорони довкілля</w:t>
            </w:r>
          </w:p>
        </w:tc>
        <w:tc>
          <w:tcPr>
            <w:tcW w:w="751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right="-365" w:hanging="0"/>
              <w:rPr>
                <w:sz w:val="24"/>
                <w:szCs w:val="24"/>
                <w:lang w:val="ru-RU"/>
              </w:rPr>
            </w:pPr>
            <w:r>
              <w:rPr>
                <w:color w:val="000000"/>
                <w:sz w:val="24"/>
                <w:szCs w:val="24"/>
                <w:lang w:val="ru-RU"/>
              </w:rPr>
              <w:t>Товар має відповідати вимогам технічних регламентів, зокрема Технічного регламенту щодо вимог до автомобільних бензинів, дизельного, суднових та котельних палив (затв.Постановою КМУ від 01.08.2013р. №927) та вимогам ДСТУ 7687:2015 (див. таблицю нижче "Вимоги щодо характеристик автомобільних бензинів"). Товар має супроводжуватись належним чином завіреною копією декларації відповідності та документу про якість (паспорт якості) палива.</w:t>
            </w:r>
          </w:p>
        </w:tc>
      </w:tr>
      <w:tr>
        <w:trPr>
          <w:trHeight w:val="1" w:hRule="atLeast"/>
        </w:trPr>
        <w:tc>
          <w:tcPr>
            <w:tcW w:w="10383" w:type="dxa"/>
            <w:gridSpan w:val="5"/>
            <w:tcBorders>
              <w:top w:val="single" w:sz="4" w:space="0" w:color="000000"/>
              <w:bottom w:val="single" w:sz="4" w:space="0" w:color="000000"/>
            </w:tcBorders>
            <w:shd w:color="auto" w:fill="FFFFFF" w:val="clear"/>
          </w:tcPr>
          <w:p>
            <w:pPr>
              <w:pStyle w:val="Normal"/>
              <w:widowControl w:val="false"/>
              <w:jc w:val="right"/>
              <w:rPr>
                <w:sz w:val="24"/>
                <w:szCs w:val="24"/>
              </w:rPr>
            </w:pPr>
            <w:r>
              <w:rPr>
                <w:i/>
                <w:color w:val="121212"/>
                <w:sz w:val="24"/>
                <w:szCs w:val="24"/>
              </w:rPr>
              <w:t>Таблиця 3</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4"/>
                <w:szCs w:val="24"/>
                <w:lang w:val="ru-RU"/>
              </w:rPr>
            </w:pPr>
            <w:r>
              <w:rPr>
                <w:color w:val="000000"/>
                <w:sz w:val="24"/>
                <w:szCs w:val="24"/>
                <w:lang w:val="ru-RU"/>
              </w:rPr>
              <w:t>ВИМОГИ ДО ХАРАКТЕРИСТИК АВТОМОБІЛЬНИХ БЕНЗИНІВ</w:t>
            </w:r>
          </w:p>
          <w:p>
            <w:pPr>
              <w:pStyle w:val="Normal"/>
              <w:widowControl w:val="false"/>
              <w:jc w:val="center"/>
              <w:rPr>
                <w:sz w:val="24"/>
                <w:szCs w:val="24"/>
                <w:lang w:val="ru-RU"/>
              </w:rPr>
            </w:pPr>
            <w:r>
              <w:rPr>
                <w:color w:val="000000"/>
                <w:sz w:val="24"/>
                <w:szCs w:val="24"/>
                <w:lang w:val="ru-RU"/>
              </w:rPr>
              <w:t>Технічного регламенту щодо вимог до автомобільних бензинів, дизельного, суднових та котельних палив (затв.Постановою КМУ від 01.08.2013р. №927) та вимогам ДСТУ 7687:2015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Назва показника</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3</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4</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Євро 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октанове число за дослідним методом</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А-95</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не менше 95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Тиск насиченої пари, кПа, в межах:</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літній період (з 16 квітня до 15 жовтня)</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45-80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зимовий період (з 16 листпада до 15 березня)</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60-100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 xml:space="preserve"> </w:t>
            </w:r>
            <w:r>
              <w:rPr>
                <w:color w:val="000000"/>
                <w:sz w:val="24"/>
                <w:szCs w:val="24"/>
                <w:lang w:val="ru-RU"/>
              </w:rPr>
              <w:t>-у перехідний період (з 16 березня до 15 квітня та з 16 жовтня до 15 листопада)</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50-90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свинцю, мг/дм.куб, в межах</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5-10</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марганцю, мг/дм.куб, не більше</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до 01.01.2017</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18</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18</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після 01.01.2017</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6</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Вміст сірки, мг/дм.куб,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Концентрація фактичних смол, мг/100 см.куб.</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Стабільність до окислювання (індукційний період), хв, не менше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360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Об'ємна частка бензолу, %,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lang w:val="ru-RU"/>
              </w:rPr>
              <w:t xml:space="preserve">Корозія на мідній пластинці, (3 години за температурою </w:t>
            </w:r>
            <w:r>
              <w:rPr>
                <w:color w:val="000000"/>
                <w:sz w:val="24"/>
                <w:szCs w:val="24"/>
              </w:rPr>
              <w:t>50 Со), клас,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1</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Густина за температури 15 Со, кг/м.куб, в межах</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720-775</w:t>
            </w:r>
          </w:p>
        </w:tc>
      </w:tr>
      <w:tr>
        <w:trPr>
          <w:trHeight w:val="1" w:hRule="atLeast"/>
        </w:trPr>
        <w:tc>
          <w:tcPr>
            <w:tcW w:w="10383"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Вміст біоетанолу</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Е5, %, не більше</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Е7, %, понад, та не більше ніж</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5-7</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Е10%, понад, та не більше ніж</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c>
          <w:tcPr>
            <w:tcW w:w="3302"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7-10</w:t>
            </w:r>
          </w:p>
        </w:tc>
      </w:tr>
      <w:tr>
        <w:trPr>
          <w:trHeight w:val="1" w:hRule="atLeast"/>
        </w:trPr>
        <w:tc>
          <w:tcPr>
            <w:tcW w:w="2777" w:type="dxa"/>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rPr>
            </w:pPr>
            <w:r>
              <w:rPr>
                <w:color w:val="000000"/>
                <w:sz w:val="24"/>
                <w:szCs w:val="24"/>
              </w:rPr>
              <w:t>Зовнішній вигляд</w:t>
            </w:r>
          </w:p>
        </w:tc>
        <w:tc>
          <w:tcPr>
            <w:tcW w:w="7606"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rPr>
                <w:sz w:val="24"/>
                <w:szCs w:val="24"/>
                <w:lang w:val="ru-RU"/>
              </w:rPr>
            </w:pPr>
            <w:r>
              <w:rPr>
                <w:color w:val="000000"/>
                <w:sz w:val="24"/>
                <w:szCs w:val="24"/>
                <w:lang w:val="ru-RU"/>
              </w:rPr>
              <w:t>Прозорий та світлий з різними відтінками, залежно від кольору присадок, без механічних домішок та води.</w:t>
            </w:r>
          </w:p>
        </w:tc>
      </w:tr>
    </w:tbl>
    <w:p>
      <w:pPr>
        <w:pStyle w:val="Normal"/>
        <w:jc w:val="both"/>
        <w:rPr>
          <w:b/>
          <w:b/>
          <w:color w:val="000000"/>
          <w:sz w:val="24"/>
          <w:szCs w:val="24"/>
          <w:lang w:val="ru-RU"/>
        </w:rPr>
      </w:pPr>
      <w:r>
        <w:rPr>
          <w:b/>
          <w:color w:val="000000"/>
          <w:sz w:val="24"/>
          <w:szCs w:val="24"/>
          <w:lang w:val="ru-RU"/>
        </w:rPr>
      </w:r>
    </w:p>
    <w:p>
      <w:pPr>
        <w:pStyle w:val="Normal"/>
        <w:jc w:val="both"/>
        <w:rPr>
          <w:sz w:val="24"/>
          <w:szCs w:val="24"/>
        </w:rPr>
      </w:pPr>
      <w:r>
        <w:rPr>
          <w:b/>
          <w:color w:val="000000"/>
          <w:sz w:val="24"/>
          <w:szCs w:val="24"/>
        </w:rPr>
        <w:t>ДИЗЕЛЬНЕ ПАЛИВО:</w:t>
      </w:r>
    </w:p>
    <w:p>
      <w:pPr>
        <w:pStyle w:val="Normal"/>
        <w:jc w:val="right"/>
        <w:rPr>
          <w:sz w:val="24"/>
          <w:szCs w:val="24"/>
        </w:rPr>
      </w:pPr>
      <w:r>
        <w:rPr>
          <w:i/>
          <w:color w:val="121212"/>
          <w:sz w:val="24"/>
          <w:szCs w:val="24"/>
        </w:rPr>
        <w:t>Таблиця 4</w:t>
      </w:r>
    </w:p>
    <w:tbl>
      <w:tblPr>
        <w:tblW w:w="9531" w:type="dxa"/>
        <w:jc w:val="left"/>
        <w:tblInd w:w="0" w:type="dxa"/>
        <w:tblLayout w:type="fixed"/>
        <w:tblCellMar>
          <w:top w:w="0" w:type="dxa"/>
          <w:left w:w="114" w:type="dxa"/>
          <w:bottom w:w="0" w:type="dxa"/>
          <w:right w:w="114" w:type="dxa"/>
        </w:tblCellMar>
        <w:tblLook w:firstRow="0" w:noVBand="1" w:lastRow="0" w:firstColumn="0" w:lastColumn="0" w:noHBand="0" w:val="0400"/>
      </w:tblPr>
      <w:tblGrid>
        <w:gridCol w:w="6090"/>
        <w:gridCol w:w="3440"/>
      </w:tblGrid>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4"/>
                <w:szCs w:val="24"/>
              </w:rPr>
            </w:pPr>
            <w:r>
              <w:rPr>
                <w:b/>
                <w:color w:val="000000"/>
                <w:sz w:val="24"/>
                <w:szCs w:val="24"/>
              </w:rPr>
              <w:t>Атрибути</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rPr>
                <w:sz w:val="24"/>
                <w:szCs w:val="24"/>
              </w:rPr>
            </w:pPr>
            <w:r>
              <w:rPr>
                <w:b/>
                <w:color w:val="000000"/>
                <w:sz w:val="24"/>
                <w:szCs w:val="24"/>
              </w:rPr>
              <w:t>Примірні значення атрибутів</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rPr>
            </w:pPr>
            <w:r>
              <w:rPr>
                <w:color w:val="000000"/>
                <w:sz w:val="24"/>
                <w:szCs w:val="24"/>
              </w:rPr>
              <w:t>ДСТУ</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4"/>
                <w:szCs w:val="24"/>
              </w:rPr>
            </w:pPr>
            <w:r>
              <w:rPr>
                <w:color w:val="000000"/>
                <w:sz w:val="24"/>
                <w:szCs w:val="24"/>
              </w:rPr>
              <w:t>7688:2015</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lang w:val="ru-RU"/>
              </w:rPr>
            </w:pPr>
            <w:r>
              <w:rPr>
                <w:color w:val="000000"/>
                <w:sz w:val="24"/>
                <w:szCs w:val="24"/>
                <w:lang w:val="ru-RU"/>
              </w:rPr>
              <w:t>Кінематична в’язкість при температурі 40 градусів, мм</w:t>
            </w:r>
            <w:r>
              <w:rPr>
                <w:color w:val="000000"/>
                <w:sz w:val="14"/>
                <w:szCs w:val="14"/>
                <w:vertAlign w:val="superscript"/>
                <w:lang w:val="ru-RU"/>
              </w:rPr>
              <w:t>2</w:t>
            </w:r>
            <w:r>
              <w:rPr>
                <w:color w:val="000000"/>
                <w:sz w:val="24"/>
                <w:szCs w:val="24"/>
                <w:lang w:val="ru-RU"/>
              </w:rPr>
              <w:t>/с</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567"/>
              <w:jc w:val="center"/>
              <w:rPr>
                <w:sz w:val="24"/>
                <w:szCs w:val="24"/>
              </w:rPr>
            </w:pPr>
            <w:r>
              <w:rPr>
                <w:color w:val="000000"/>
                <w:sz w:val="24"/>
                <w:szCs w:val="24"/>
              </w:rPr>
              <w:t>у межах 2,00-4,50</w:t>
            </w:r>
          </w:p>
          <w:p>
            <w:pPr>
              <w:pStyle w:val="Normal"/>
              <w:widowControl w:val="false"/>
              <w:rPr>
                <w:sz w:val="24"/>
                <w:szCs w:val="24"/>
              </w:rPr>
            </w:pPr>
            <w:r>
              <w:rPr>
                <w:sz w:val="24"/>
                <w:szCs w:val="24"/>
              </w:rPr>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rPr>
            </w:pPr>
            <w:r>
              <w:rPr>
                <w:color w:val="000000"/>
                <w:sz w:val="24"/>
                <w:szCs w:val="24"/>
              </w:rPr>
              <w:t>Цетановий індекс</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4"/>
                <w:szCs w:val="24"/>
              </w:rPr>
            </w:pPr>
            <w:r>
              <w:rPr>
                <w:color w:val="000000"/>
                <w:sz w:val="24"/>
                <w:szCs w:val="24"/>
              </w:rPr>
              <w:t>не менше 46,0</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rPr>
            </w:pPr>
            <w:r>
              <w:rPr>
                <w:color w:val="000000"/>
                <w:sz w:val="24"/>
                <w:szCs w:val="24"/>
              </w:rPr>
              <w:t>Цетанове число</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567"/>
              <w:jc w:val="center"/>
              <w:rPr>
                <w:sz w:val="24"/>
                <w:szCs w:val="24"/>
              </w:rPr>
            </w:pPr>
            <w:r>
              <w:rPr>
                <w:color w:val="000000"/>
                <w:sz w:val="24"/>
                <w:szCs w:val="24"/>
              </w:rPr>
              <w:t>не менше 51,0</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rPr>
            </w:pPr>
            <w:r>
              <w:rPr>
                <w:color w:val="000000"/>
                <w:sz w:val="24"/>
                <w:szCs w:val="24"/>
              </w:rPr>
              <w:t>Зміст сірки мг/кг</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sz w:val="24"/>
                <w:szCs w:val="24"/>
              </w:rPr>
            </w:pPr>
            <w:r>
              <w:rPr>
                <w:color w:val="000000"/>
                <w:sz w:val="24"/>
                <w:szCs w:val="24"/>
              </w:rPr>
              <w:t>не більш 50</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lang w:val="ru-RU"/>
              </w:rPr>
            </w:pPr>
            <w:r>
              <w:rPr>
                <w:color w:val="000000"/>
                <w:sz w:val="24"/>
                <w:szCs w:val="24"/>
                <w:lang w:val="ru-RU"/>
              </w:rPr>
              <w:t>Щільність при температурі15 градусів С</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567"/>
              <w:jc w:val="center"/>
              <w:rPr>
                <w:sz w:val="24"/>
                <w:szCs w:val="24"/>
              </w:rPr>
            </w:pPr>
            <w:r>
              <w:rPr>
                <w:color w:val="000000"/>
                <w:sz w:val="24"/>
                <w:szCs w:val="24"/>
              </w:rPr>
              <w:t>в межах 820-845</w:t>
            </w:r>
          </w:p>
          <w:p>
            <w:pPr>
              <w:pStyle w:val="Normal"/>
              <w:widowControl w:val="false"/>
              <w:rPr>
                <w:sz w:val="24"/>
                <w:szCs w:val="24"/>
              </w:rPr>
            </w:pPr>
            <w:r>
              <w:rPr>
                <w:sz w:val="24"/>
                <w:szCs w:val="24"/>
              </w:rPr>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rPr>
            </w:pPr>
            <w:r>
              <w:rPr>
                <w:color w:val="000000"/>
                <w:sz w:val="24"/>
                <w:szCs w:val="24"/>
              </w:rPr>
              <w:t>Зольність %</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567"/>
              <w:jc w:val="center"/>
              <w:rPr>
                <w:sz w:val="24"/>
                <w:szCs w:val="24"/>
              </w:rPr>
            </w:pPr>
            <w:r>
              <w:rPr>
                <w:color w:val="000000"/>
                <w:sz w:val="24"/>
                <w:szCs w:val="24"/>
              </w:rPr>
              <w:t>не більш 0,01</w:t>
            </w:r>
          </w:p>
        </w:tc>
      </w:tr>
      <w:tr>
        <w:trPr>
          <w:trHeight w:val="1" w:hRule="atLeast"/>
        </w:trPr>
        <w:tc>
          <w:tcPr>
            <w:tcW w:w="609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both"/>
              <w:rPr>
                <w:sz w:val="24"/>
                <w:szCs w:val="24"/>
                <w:lang w:val="ru-RU"/>
              </w:rPr>
            </w:pPr>
            <w:r>
              <w:rPr>
                <w:color w:val="000000"/>
                <w:sz w:val="24"/>
                <w:szCs w:val="24"/>
                <w:lang w:val="ru-RU"/>
              </w:rPr>
              <w:t>Температура спалаху в закритому тиглі</w:t>
            </w:r>
          </w:p>
        </w:tc>
        <w:tc>
          <w:tcPr>
            <w:tcW w:w="344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ind w:hanging="567"/>
              <w:jc w:val="center"/>
              <w:rPr>
                <w:sz w:val="24"/>
                <w:szCs w:val="24"/>
              </w:rPr>
            </w:pPr>
            <w:r>
              <w:rPr>
                <w:color w:val="000000"/>
                <w:sz w:val="24"/>
                <w:szCs w:val="24"/>
              </w:rPr>
              <w:t>не нижче 55</w:t>
            </w:r>
          </w:p>
        </w:tc>
      </w:tr>
    </w:tbl>
    <w:p>
      <w:pPr>
        <w:pStyle w:val="Normal"/>
        <w:rPr>
          <w:sz w:val="24"/>
          <w:szCs w:val="24"/>
        </w:rPr>
      </w:pPr>
      <w:r>
        <w:rPr>
          <w:sz w:val="24"/>
          <w:szCs w:val="24"/>
        </w:rPr>
      </w:r>
    </w:p>
    <w:p>
      <w:pPr>
        <w:pStyle w:val="Normal"/>
        <w:jc w:val="both"/>
        <w:rPr>
          <w:sz w:val="24"/>
          <w:szCs w:val="24"/>
          <w:lang w:val="ru-RU"/>
        </w:rPr>
      </w:pPr>
      <w:r>
        <w:rPr>
          <w:color w:val="000000"/>
          <w:sz w:val="24"/>
          <w:szCs w:val="24"/>
          <w:lang w:val="ru-RU"/>
        </w:rPr>
        <w:t>Дизельне паливо повинне відповідати ДСТУ 7688:2015 «Паливо дизельне підвищеної якості. Технічні вимоги</w:t>
      </w:r>
    </w:p>
    <w:p>
      <w:pPr>
        <w:pStyle w:val="Normal"/>
        <w:rPr>
          <w:sz w:val="24"/>
          <w:szCs w:val="24"/>
          <w:lang w:val="ru-RU"/>
        </w:rPr>
      </w:pPr>
      <w:r>
        <w:rPr>
          <w:sz w:val="24"/>
          <w:szCs w:val="24"/>
          <w:lang w:val="ru-RU"/>
        </w:rPr>
      </w:r>
    </w:p>
    <w:p>
      <w:pPr>
        <w:pStyle w:val="Normal"/>
        <w:ind w:right="-185" w:hanging="0"/>
        <w:jc w:val="both"/>
        <w:rPr>
          <w:b/>
          <w:b/>
          <w:sz w:val="24"/>
          <w:szCs w:val="24"/>
          <w:lang w:val="ru-RU"/>
        </w:rPr>
      </w:pPr>
      <w:r>
        <w:rPr>
          <w:sz w:val="24"/>
          <w:szCs w:val="24"/>
          <w:lang w:val="ru-RU"/>
        </w:rPr>
        <w:t xml:space="preserve">РОЗДІЛ </w:t>
      </w:r>
      <w:r>
        <w:rPr>
          <w:sz w:val="24"/>
          <w:szCs w:val="24"/>
        </w:rPr>
        <w:t>II</w:t>
      </w:r>
      <w:r>
        <w:rPr>
          <w:sz w:val="24"/>
          <w:szCs w:val="24"/>
          <w:lang w:val="ru-RU"/>
        </w:rPr>
        <w:t xml:space="preserve">. </w:t>
      </w:r>
      <w:r>
        <w:rPr>
          <w:sz w:val="24"/>
          <w:szCs w:val="24"/>
        </w:rPr>
        <w:t>III</w:t>
      </w:r>
      <w:r>
        <w:rPr>
          <w:sz w:val="24"/>
          <w:szCs w:val="24"/>
          <w:lang w:val="ru-RU"/>
        </w:rPr>
        <w:t>.</w:t>
      </w:r>
      <w:r>
        <w:rPr>
          <w:b/>
          <w:sz w:val="24"/>
          <w:szCs w:val="24"/>
          <w:lang w:val="ru-RU"/>
        </w:rPr>
        <w:t xml:space="preserve"> ДОДАТКОВО У СКЛАДІ ПРОПОЗИЦІЇ УЧАСНИК ЗОБОВ'ЯЗАНИЙ НАДАТИ:</w:t>
      </w:r>
    </w:p>
    <w:p>
      <w:pPr>
        <w:pStyle w:val="Normal"/>
        <w:numPr>
          <w:ilvl w:val="0"/>
          <w:numId w:val="8"/>
        </w:numPr>
        <w:ind w:left="720" w:right="-5" w:hanging="360"/>
        <w:jc w:val="both"/>
        <w:rPr>
          <w:sz w:val="24"/>
          <w:szCs w:val="24"/>
          <w:lang w:val="ru-RU"/>
        </w:rPr>
      </w:pPr>
      <w:r>
        <w:rPr>
          <w:sz w:val="24"/>
          <w:szCs w:val="24"/>
          <w:lang w:val="ru-RU"/>
        </w:rPr>
        <w:t>Документи, що посвідчують якість товару, що є предметом закупівлі.</w:t>
      </w:r>
    </w:p>
    <w:p>
      <w:pPr>
        <w:pStyle w:val="Normal"/>
        <w:ind w:right="-5" w:hanging="0"/>
        <w:jc w:val="both"/>
        <w:rPr>
          <w:b/>
          <w:b/>
          <w:lang w:val="ru-RU"/>
        </w:rPr>
      </w:pPr>
      <w:r>
        <w:rPr>
          <w:b/>
          <w:lang w:val="ru-RU"/>
        </w:rPr>
      </w:r>
    </w:p>
    <w:p>
      <w:pPr>
        <w:pStyle w:val="Normal"/>
        <w:ind w:right="-185" w:hanging="0"/>
        <w:jc w:val="both"/>
        <w:rPr>
          <w:b/>
          <w:b/>
          <w:i/>
          <w:i/>
          <w:lang w:val="ru-RU"/>
        </w:rPr>
      </w:pPr>
      <w:r>
        <w:rPr>
          <w:b/>
          <w:i/>
          <w:lang w:val="ru-RU"/>
        </w:rPr>
        <w:t>Примітки:</w:t>
      </w:r>
    </w:p>
    <w:p>
      <w:pPr>
        <w:pStyle w:val="Normal"/>
        <w:jc w:val="both"/>
        <w:rPr>
          <w:i/>
          <w:i/>
          <w:lang w:val="ru-RU"/>
        </w:rPr>
      </w:pPr>
      <w:r>
        <w:rPr>
          <w:lang w:val="ru-RU"/>
        </w:rPr>
        <w:t>* -</w:t>
      </w:r>
      <w:r>
        <w:rPr>
          <w:i/>
          <w:lang w:val="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pPr>
        <w:sectPr>
          <w:type w:val="nextPage"/>
          <w:pgSz w:w="11906" w:h="16838"/>
          <w:pgMar w:left="900" w:right="850" w:header="0" w:top="719" w:footer="0" w:bottom="719" w:gutter="0"/>
          <w:pgNumType w:fmt="decimal"/>
          <w:formProt w:val="false"/>
          <w:textDirection w:val="lrTb"/>
          <w:docGrid w:type="default" w:linePitch="100" w:charSpace="16384"/>
        </w:sectPr>
        <w:pStyle w:val="Normal"/>
        <w:jc w:val="both"/>
        <w:rPr>
          <w:i/>
          <w:i/>
          <w:lang w:val="ru-RU"/>
        </w:rPr>
      </w:pPr>
      <w:r>
        <w:rPr>
          <w:i/>
          <w:lang w:val="ru-RU"/>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pPr>
        <w:pStyle w:val="Normal"/>
        <w:rPr>
          <w:b/>
          <w:b/>
          <w:sz w:val="24"/>
          <w:szCs w:val="24"/>
          <w:lang w:val="ru-RU"/>
        </w:rPr>
      </w:pPr>
      <w:r>
        <w:rPr>
          <w:b/>
          <w:sz w:val="24"/>
          <w:szCs w:val="24"/>
          <w:lang w:val="ru-RU"/>
        </w:rPr>
        <w:t xml:space="preserve">Розділ </w:t>
      </w:r>
      <w:r>
        <w:rPr>
          <w:b/>
          <w:sz w:val="24"/>
          <w:szCs w:val="24"/>
        </w:rPr>
        <w:t>III</w:t>
      </w:r>
      <w:r>
        <w:rPr>
          <w:b/>
          <w:sz w:val="24"/>
          <w:szCs w:val="24"/>
          <w:lang w:val="ru-RU"/>
        </w:rPr>
        <w:t>. ВИМОГИ ДО УЧАСНИКА СПРОЩЕНОЇ ЗАКУПІВЛІ</w:t>
      </w:r>
    </w:p>
    <w:p>
      <w:pPr>
        <w:pStyle w:val="Normal"/>
        <w:numPr>
          <w:ilvl w:val="0"/>
          <w:numId w:val="6"/>
        </w:numPr>
        <w:spacing w:before="120" w:after="0"/>
        <w:ind w:left="540" w:hanging="539"/>
        <w:jc w:val="both"/>
        <w:rPr>
          <w:sz w:val="24"/>
          <w:szCs w:val="24"/>
        </w:rPr>
      </w:pPr>
      <w:r>
        <w:rPr>
          <w:b/>
          <w:sz w:val="24"/>
          <w:szCs w:val="24"/>
        </w:rPr>
        <w:t>Забезпечення пропозиції:</w:t>
      </w:r>
      <w:r>
        <w:rPr>
          <w:sz w:val="24"/>
          <w:szCs w:val="24"/>
        </w:rPr>
        <w:t xml:space="preserve"> </w:t>
      </w:r>
      <w:r>
        <w:rPr>
          <w:b/>
          <w:sz w:val="24"/>
          <w:szCs w:val="24"/>
        </w:rPr>
        <w:t>не вимагається.</w:t>
      </w:r>
    </w:p>
    <w:p>
      <w:pPr>
        <w:pStyle w:val="Normal"/>
        <w:numPr>
          <w:ilvl w:val="0"/>
          <w:numId w:val="6"/>
        </w:numPr>
        <w:spacing w:before="120" w:after="0"/>
        <w:ind w:left="540" w:hanging="539"/>
        <w:jc w:val="both"/>
        <w:rPr>
          <w:b/>
          <w:b/>
          <w:sz w:val="24"/>
          <w:szCs w:val="24"/>
          <w:lang w:val="ru-RU"/>
        </w:rPr>
      </w:pPr>
      <w:r>
        <w:rPr>
          <w:b/>
          <w:sz w:val="24"/>
          <w:szCs w:val="24"/>
          <w:lang w:val="ru-RU"/>
        </w:rPr>
        <w:t>Забезпечення виконання договору:</w:t>
      </w:r>
      <w:r>
        <w:rPr>
          <w:sz w:val="24"/>
          <w:szCs w:val="24"/>
          <w:lang w:val="ru-RU"/>
        </w:rPr>
        <w:t xml:space="preserve"> </w:t>
      </w:r>
      <w:r>
        <w:rPr>
          <w:b/>
          <w:sz w:val="24"/>
          <w:szCs w:val="24"/>
          <w:lang w:val="ru-RU"/>
        </w:rPr>
        <w:t xml:space="preserve">не вимагається. </w:t>
      </w:r>
    </w:p>
    <w:p>
      <w:pPr>
        <w:pStyle w:val="Normal"/>
        <w:numPr>
          <w:ilvl w:val="0"/>
          <w:numId w:val="6"/>
        </w:numPr>
        <w:spacing w:before="120" w:after="0"/>
        <w:ind w:left="540" w:hanging="539"/>
        <w:jc w:val="both"/>
        <w:rPr>
          <w:b/>
          <w:b/>
          <w:sz w:val="24"/>
          <w:szCs w:val="24"/>
          <w:lang w:val="ru-RU"/>
        </w:rPr>
      </w:pPr>
      <w:r>
        <w:rPr>
          <w:b/>
          <w:sz w:val="24"/>
          <w:szCs w:val="24"/>
          <w:lang w:val="ru-RU"/>
        </w:rPr>
        <w:t>Документ(и), що підтверджує статус учасника, як платника податків:</w:t>
      </w:r>
    </w:p>
    <w:p>
      <w:pPr>
        <w:pStyle w:val="Normal"/>
        <w:numPr>
          <w:ilvl w:val="1"/>
          <w:numId w:val="6"/>
        </w:numPr>
        <w:ind w:left="0" w:hanging="0"/>
        <w:jc w:val="both"/>
        <w:rPr>
          <w:sz w:val="24"/>
          <w:szCs w:val="24"/>
          <w:lang w:val="ru-RU"/>
        </w:rPr>
      </w:pPr>
      <w:r>
        <w:rPr>
          <w:sz w:val="24"/>
          <w:szCs w:val="24"/>
          <w:lang w:val="ru-RU"/>
        </w:rPr>
        <w:t>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 Документ повинен достовірно підтверджати інформацію про систему оподаткування учасника та ставку податку, які будуть застосовуватись при виконанні господарських операцій та подальших податкових зобов’язань за результатом укладеного договору про закупівлю. Дана вимога стосується суб'єктів господарювання – юридичних осіб або їх структурних підрозділів (які не мають статусу юридичної особи), фізичних осіб-підприємців.</w:t>
      </w:r>
    </w:p>
    <w:p>
      <w:pPr>
        <w:pStyle w:val="Normal"/>
        <w:numPr>
          <w:ilvl w:val="0"/>
          <w:numId w:val="6"/>
        </w:numPr>
        <w:spacing w:before="120" w:after="0"/>
        <w:ind w:left="0" w:hanging="0"/>
        <w:jc w:val="both"/>
        <w:rPr>
          <w:b/>
          <w:b/>
          <w:sz w:val="24"/>
          <w:szCs w:val="24"/>
          <w:lang w:val="ru-RU"/>
        </w:rPr>
      </w:pPr>
      <w:r>
        <w:rPr>
          <w:b/>
          <w:sz w:val="24"/>
          <w:szCs w:val="24"/>
          <w:lang w:val="ru-RU"/>
        </w:rPr>
        <w:t>Документ(и), що підтверджує наявність прав відповідальної особи учасника підписання та виконання договору про закупівлю:</w:t>
      </w:r>
    </w:p>
    <w:p>
      <w:pPr>
        <w:pStyle w:val="Normal"/>
        <w:numPr>
          <w:ilvl w:val="1"/>
          <w:numId w:val="6"/>
        </w:numPr>
        <w:ind w:left="0" w:hanging="0"/>
        <w:jc w:val="both"/>
        <w:rPr>
          <w:b/>
          <w:b/>
          <w:sz w:val="24"/>
          <w:szCs w:val="24"/>
          <w:lang w:val="ru-RU"/>
        </w:rPr>
      </w:pPr>
      <w:r>
        <w:rPr>
          <w:sz w:val="24"/>
          <w:szCs w:val="24"/>
          <w:lang w:val="ru-RU"/>
        </w:rPr>
        <w:t xml:space="preserve"> </w:t>
      </w:r>
      <w:r>
        <w:rPr>
          <w:sz w:val="24"/>
          <w:szCs w:val="24"/>
          <w:lang w:val="ru-RU"/>
        </w:rPr>
        <w:t>Копія документу (оригінал / виписка (або витяг) з протоколу (рішення) зборів засновників (учасників)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 або їх структурних підрозділів (які не мають статусу юридичної особи).</w:t>
      </w:r>
    </w:p>
    <w:p>
      <w:pPr>
        <w:pStyle w:val="Normal"/>
        <w:numPr>
          <w:ilvl w:val="0"/>
          <w:numId w:val="6"/>
        </w:numPr>
        <w:spacing w:before="120" w:after="0"/>
        <w:ind w:left="0" w:hanging="0"/>
        <w:jc w:val="both"/>
        <w:rPr>
          <w:b/>
          <w:b/>
          <w:sz w:val="24"/>
          <w:szCs w:val="24"/>
          <w:lang w:val="ru-RU"/>
        </w:rPr>
      </w:pPr>
      <w:r>
        <w:rPr>
          <w:b/>
          <w:sz w:val="24"/>
          <w:szCs w:val="24"/>
          <w:lang w:val="ru-RU"/>
        </w:rPr>
        <w:t>Документи, що підтверджують наявність кваліфікації та досвіду</w:t>
      </w:r>
    </w:p>
    <w:p>
      <w:pPr>
        <w:pStyle w:val="ListParagraph"/>
        <w:numPr>
          <w:ilvl w:val="1"/>
          <w:numId w:val="6"/>
        </w:numPr>
        <w:spacing w:before="120" w:after="0"/>
        <w:ind w:left="0" w:hanging="0"/>
        <w:contextualSpacing/>
        <w:jc w:val="both"/>
        <w:rPr>
          <w:b/>
          <w:b/>
          <w:sz w:val="24"/>
          <w:szCs w:val="24"/>
          <w:lang w:val="ru-RU"/>
        </w:rPr>
      </w:pPr>
      <w:r>
        <w:rPr>
          <w:sz w:val="24"/>
          <w:szCs w:val="24"/>
          <w:lang w:val="ru-RU"/>
        </w:rPr>
        <w:t>для підтвердження наявності досвіду виконання аналогічних зобов’язань закупівлі надається:</w:t>
      </w:r>
    </w:p>
    <w:p>
      <w:pPr>
        <w:pStyle w:val="ListParagraph"/>
        <w:ind w:left="0" w:hanging="0"/>
        <w:jc w:val="both"/>
        <w:rPr>
          <w:sz w:val="24"/>
          <w:szCs w:val="24"/>
          <w:lang w:val="ru-RU"/>
        </w:rPr>
      </w:pPr>
      <w:r>
        <w:rPr>
          <w:sz w:val="24"/>
          <w:szCs w:val="24"/>
          <w:lang w:val="ru-RU"/>
        </w:rPr>
        <w:t>5.1.1. документ(и), який(і) із інформацією, що підтверджує наявність виконаних зобов’язань щодо здійснення господарської діяльності за відповідним напрямком із реквізитами контрагента(ів). На виконання даної вимоги може надаватись один із видів документів – договір, первинні документи, рекомендації (відгуки), договори (в межах дилерських чи представницьких зобов’язань в предмету договору, який є аналогічним предмету даної закупівлі).</w:t>
      </w:r>
    </w:p>
    <w:p>
      <w:pPr>
        <w:pStyle w:val="Normal"/>
        <w:numPr>
          <w:ilvl w:val="0"/>
          <w:numId w:val="6"/>
        </w:numPr>
        <w:spacing w:before="120" w:after="0"/>
        <w:ind w:left="0" w:hanging="0"/>
        <w:jc w:val="both"/>
        <w:rPr>
          <w:color w:val="000000"/>
        </w:rPr>
      </w:pPr>
      <w:r>
        <w:rPr>
          <w:color w:val="000000"/>
          <w:sz w:val="24"/>
          <w:szCs w:val="24"/>
          <w:lang w:val="ru-RU"/>
        </w:rPr>
        <w:t xml:space="preserve">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w:t>
      </w:r>
      <w:r>
        <w:rPr>
          <w:color w:val="000000"/>
          <w:sz w:val="24"/>
          <w:szCs w:val="24"/>
        </w:rPr>
        <w:t>України в митному режимі імпорту товарів з Російської Федерації</w:t>
      </w:r>
    </w:p>
    <w:p>
      <w:pPr>
        <w:pStyle w:val="Normal"/>
        <w:spacing w:before="240" w:after="240"/>
        <w:ind w:left="425" w:hanging="0"/>
        <w:jc w:val="center"/>
        <w:rPr>
          <w:color w:val="000000"/>
        </w:rPr>
      </w:pPr>
      <w:r>
        <w:rPr>
          <w:b/>
          <w:color w:val="000000"/>
          <w:sz w:val="24"/>
          <w:szCs w:val="24"/>
          <w:lang w:val="ru-RU"/>
        </w:rPr>
        <w:t>Учасники при поданні пропозиції повинні враховувати норми:</w:t>
      </w:r>
    </w:p>
    <w:p>
      <w:pPr>
        <w:pStyle w:val="Normal"/>
        <w:widowControl w:val="false"/>
        <w:ind w:firstLine="425"/>
        <w:jc w:val="both"/>
        <w:rPr>
          <w:color w:val="000000"/>
        </w:rPr>
      </w:pPr>
      <w:r>
        <w:rPr>
          <w:color w:val="000000"/>
          <w:sz w:val="24"/>
          <w:szCs w:val="24"/>
          <w:lang w:val="ru-RU"/>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pPr>
        <w:pStyle w:val="Normal"/>
        <w:widowControl w:val="false"/>
        <w:ind w:firstLine="425"/>
        <w:jc w:val="both"/>
        <w:rPr>
          <w:color w:val="000000"/>
        </w:rPr>
      </w:pPr>
      <w:r>
        <w:rPr>
          <w:color w:val="000000"/>
          <w:sz w:val="24"/>
          <w:szCs w:val="24"/>
          <w:lang w:val="ru-RU"/>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ind w:firstLine="425"/>
        <w:jc w:val="both"/>
        <w:rPr>
          <w:color w:val="000000"/>
        </w:rPr>
      </w:pPr>
      <w:r>
        <w:rPr>
          <w:color w:val="000000"/>
          <w:sz w:val="24"/>
          <w:szCs w:val="24"/>
          <w:lang w:val="ru-RU"/>
        </w:rPr>
        <w:t xml:space="preserve">-   </w:t>
        <w:tab/>
        <w:t>Закону України «Про забезпечення прав і свобод громадян та правовий режим на тимчасово окупованій території України» від 15.04.2014 № 1207-</w:t>
      </w:r>
      <w:r>
        <w:rPr>
          <w:color w:val="000000"/>
          <w:sz w:val="24"/>
          <w:szCs w:val="24"/>
        </w:rPr>
        <w:t>VII</w:t>
      </w:r>
      <w:r>
        <w:rPr>
          <w:color w:val="000000"/>
          <w:sz w:val="24"/>
          <w:szCs w:val="24"/>
          <w:lang w:val="ru-RU"/>
        </w:rPr>
        <w:t>.</w:t>
      </w:r>
    </w:p>
    <w:p>
      <w:pPr>
        <w:sectPr>
          <w:type w:val="nextPage"/>
          <w:pgSz w:w="11906" w:h="16838"/>
          <w:pgMar w:left="900" w:right="850" w:header="0" w:top="719" w:footer="0" w:bottom="719" w:gutter="0"/>
          <w:pgNumType w:fmt="decimal"/>
          <w:formProt w:val="false"/>
          <w:textDirection w:val="lrTb"/>
          <w:docGrid w:type="default" w:linePitch="100" w:charSpace="16384"/>
        </w:sectPr>
        <w:pStyle w:val="Normal"/>
        <w:jc w:val="both"/>
        <w:rPr>
          <w:color w:val="000000"/>
        </w:rPr>
      </w:pPr>
      <w:r>
        <w:rPr>
          <w:color w:val="000000"/>
          <w:sz w:val="24"/>
          <w:szCs w:val="24"/>
          <w:lang w:val="ru-RU"/>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color w:val="000000"/>
          <w:sz w:val="24"/>
          <w:szCs w:val="24"/>
          <w:highlight w:val="white"/>
          <w:lang w:val="ru-RU"/>
        </w:rPr>
        <w:t xml:space="preserve">мовам, визначеним в оголошенні про проведення спрощеної закупівлі, та вимогам до предмета закупівлі, тому така пропозиція </w:t>
      </w:r>
      <w:r>
        <w:rPr>
          <w:color w:val="000000"/>
          <w:sz w:val="24"/>
          <w:szCs w:val="24"/>
          <w:lang w:val="ru-RU"/>
        </w:rPr>
        <w:t>підлягатиме відхиленню на підставі пункту 1 частини 13 статті 14 Закону</w:t>
      </w:r>
    </w:p>
    <w:p>
      <w:pPr>
        <w:pStyle w:val="Normal"/>
        <w:jc w:val="both"/>
        <w:rPr>
          <w:sz w:val="24"/>
          <w:szCs w:val="24"/>
          <w:lang w:val="ru-RU"/>
        </w:rPr>
      </w:pPr>
      <w:r>
        <w:rPr>
          <w:b/>
          <w:sz w:val="24"/>
          <w:szCs w:val="24"/>
          <w:lang w:val="ru-RU"/>
        </w:rPr>
        <w:t xml:space="preserve">Розділ </w:t>
      </w:r>
      <w:r>
        <w:rPr>
          <w:b/>
          <w:sz w:val="24"/>
          <w:szCs w:val="24"/>
        </w:rPr>
        <w:t>IV</w:t>
      </w:r>
      <w:r>
        <w:rPr>
          <w:b/>
          <w:sz w:val="24"/>
          <w:szCs w:val="24"/>
          <w:lang w:val="ru-RU"/>
        </w:rPr>
        <w:t>. Розгляд пропозицій</w:t>
      </w:r>
    </w:p>
    <w:p>
      <w:pPr>
        <w:pStyle w:val="Normal"/>
        <w:numPr>
          <w:ilvl w:val="0"/>
          <w:numId w:val="4"/>
        </w:numPr>
        <w:spacing w:before="40" w:after="0"/>
        <w:jc w:val="both"/>
        <w:rPr>
          <w:color w:val="000000"/>
          <w:sz w:val="24"/>
          <w:szCs w:val="24"/>
          <w:highlight w:val="white"/>
        </w:rPr>
      </w:pPr>
      <w:r>
        <w:rPr>
          <w:color w:val="000000"/>
          <w:sz w:val="24"/>
          <w:szCs w:val="24"/>
          <w:highlight w:val="white"/>
          <w:lang w:val="ru-RU"/>
        </w:rPr>
        <w:t xml:space="preserve">Замовник розглядає найбільш економічно вигідну пропозицію протягом строку, що не перевищує п’ять робочих днів з дня завершення електронного аукціону. Замовник розглядає пропозицію перевіряючи її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статтею </w:t>
      </w:r>
      <w:r>
        <w:rPr>
          <w:color w:val="000000"/>
          <w:sz w:val="24"/>
          <w:szCs w:val="24"/>
          <w:highlight w:val="white"/>
        </w:rPr>
        <w:t>29 Закону.</w:t>
      </w:r>
    </w:p>
    <w:p>
      <w:pPr>
        <w:pStyle w:val="Normal"/>
        <w:numPr>
          <w:ilvl w:val="0"/>
          <w:numId w:val="4"/>
        </w:numPr>
        <w:spacing w:before="40" w:after="0"/>
        <w:jc w:val="both"/>
        <w:rPr>
          <w:sz w:val="24"/>
          <w:szCs w:val="24"/>
          <w:lang w:val="ru-RU"/>
        </w:rPr>
      </w:pPr>
      <w:r>
        <w:rPr>
          <w:sz w:val="24"/>
          <w:szCs w:val="24"/>
          <w:lang w:val="ru-RU"/>
        </w:rPr>
        <w:t>В процесі розгляду замовник перевіряє наявність підстав, визначених частиною 13 статті 14 та статті 17 Закону та, у разі їх наяності, відхиляє таку пропозицію учасника.</w:t>
      </w:r>
    </w:p>
    <w:p>
      <w:pPr>
        <w:pStyle w:val="Normal"/>
        <w:numPr>
          <w:ilvl w:val="0"/>
          <w:numId w:val="4"/>
        </w:numPr>
        <w:spacing w:before="40" w:after="0"/>
        <w:jc w:val="both"/>
        <w:rPr>
          <w:sz w:val="24"/>
          <w:szCs w:val="24"/>
          <w:lang w:val="ru-RU"/>
        </w:rPr>
      </w:pPr>
      <w:r>
        <w:rPr>
          <w:sz w:val="24"/>
          <w:szCs w:val="24"/>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w:t>
      </w:r>
    </w:p>
    <w:p>
      <w:pPr>
        <w:pStyle w:val="Normal"/>
        <w:spacing w:before="40" w:after="0"/>
        <w:ind w:left="360" w:hanging="0"/>
        <w:jc w:val="both"/>
        <w:rPr>
          <w:sz w:val="24"/>
          <w:szCs w:val="24"/>
          <w:lang w:val="ru-RU"/>
        </w:rPr>
      </w:pPr>
      <w:r>
        <w:rPr>
          <w:sz w:val="24"/>
          <w:szCs w:val="24"/>
          <w:lang w:val="ru-RU"/>
        </w:rPr>
        <w:t>У разі отримання достовірної інформації про невідповідність переможця процедури закупівлі встановленим вимогам або буде втстановлений факт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pPr>
        <w:pStyle w:val="Normal"/>
        <w:numPr>
          <w:ilvl w:val="0"/>
          <w:numId w:val="4"/>
        </w:numPr>
        <w:spacing w:before="40" w:after="0"/>
        <w:jc w:val="both"/>
        <w:rPr>
          <w:sz w:val="24"/>
          <w:szCs w:val="24"/>
          <w:lang w:val="ru-RU"/>
        </w:rPr>
      </w:pPr>
      <w:r>
        <w:rPr>
          <w:sz w:val="24"/>
          <w:szCs w:val="24"/>
          <w:lang w:val="ru-RU"/>
        </w:rPr>
        <w:t>Замовник відхиляє пропозицію учасника у разі якщо:</w:t>
      </w:r>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пропозиція учасника не відповідає умовам, визначеним в оголошенні про проведення спрощеної закупівлі, та вимогам до предмета закупівлі;</w:t>
      </w:r>
      <w:bookmarkStart w:id="1" w:name="bookmark=id.30j0zll"/>
      <w:bookmarkEnd w:id="1"/>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учасник не надав забезпечення пропозиції, якщо таке забезпечення вимагалося Замовником;</w:t>
      </w:r>
      <w:bookmarkStart w:id="2" w:name="bookmark=id.1fob9te"/>
      <w:bookmarkEnd w:id="2"/>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учасник, який визначений переможцем спрощеної закупівлі, відмовився від укладення договору про закупівлю;</w:t>
      </w:r>
      <w:bookmarkStart w:id="3" w:name="bookmark=id.3znysh7"/>
      <w:bookmarkEnd w:id="3"/>
    </w:p>
    <w:p>
      <w:pPr>
        <w:pStyle w:val="Normal"/>
        <w:numPr>
          <w:ilvl w:val="0"/>
          <w:numId w:val="7"/>
        </w:numPr>
        <w:shd w:val="clear" w:color="auto" w:fill="FFFFFF"/>
        <w:spacing w:before="40" w:after="0"/>
        <w:jc w:val="both"/>
        <w:rPr>
          <w:color w:val="000000"/>
          <w:sz w:val="24"/>
          <w:szCs w:val="24"/>
          <w:highlight w:val="white"/>
          <w:lang w:val="ru-RU"/>
        </w:rPr>
      </w:pPr>
      <w:r>
        <w:rPr>
          <w:color w:val="000000"/>
          <w:sz w:val="24"/>
          <w:szCs w:val="24"/>
          <w:highlight w:val="white"/>
          <w:lang w:val="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numPr>
          <w:ilvl w:val="0"/>
          <w:numId w:val="4"/>
        </w:numPr>
        <w:spacing w:before="40" w:after="0"/>
        <w:jc w:val="both"/>
        <w:rPr>
          <w:sz w:val="24"/>
          <w:szCs w:val="24"/>
          <w:lang w:val="ru-RU"/>
        </w:rPr>
      </w:pPr>
      <w:r>
        <w:rPr>
          <w:color w:val="000000"/>
          <w:sz w:val="24"/>
          <w:szCs w:val="24"/>
          <w:highlight w:val="white"/>
          <w:lang w:val="ru-RU"/>
        </w:rPr>
        <w:t>У разі відхилення найбільш економічно вигідної пропозиції відповідно до</w:t>
      </w:r>
      <w:r>
        <w:rPr>
          <w:color w:val="000000"/>
          <w:sz w:val="24"/>
          <w:szCs w:val="24"/>
          <w:highlight w:val="white"/>
        </w:rPr>
        <w:t> </w:t>
      </w:r>
      <w:r>
        <w:rPr>
          <w:sz w:val="24"/>
          <w:szCs w:val="24"/>
          <w:highlight w:val="white"/>
          <w:lang w:val="ru-RU"/>
        </w:rPr>
        <w:t>частини тринадцятої</w:t>
      </w:r>
      <w:r>
        <w:rPr>
          <w:color w:val="000000"/>
          <w:sz w:val="24"/>
          <w:szCs w:val="24"/>
          <w:highlight w:val="white"/>
          <w:lang w:val="ru-RU"/>
        </w:rPr>
        <w:t xml:space="preserve">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pPr>
        <w:sectPr>
          <w:type w:val="nextPage"/>
          <w:pgSz w:w="11906" w:h="16838"/>
          <w:pgMar w:left="900" w:right="850" w:header="0" w:top="719" w:footer="0" w:bottom="360" w:gutter="0"/>
          <w:pgNumType w:fmt="decimal"/>
          <w:formProt w:val="false"/>
          <w:textDirection w:val="lrTb"/>
          <w:docGrid w:type="default" w:linePitch="100" w:charSpace="16384"/>
        </w:sectPr>
        <w:pStyle w:val="Normal"/>
        <w:numPr>
          <w:ilvl w:val="0"/>
          <w:numId w:val="4"/>
        </w:numPr>
        <w:spacing w:before="40" w:after="0"/>
        <w:jc w:val="both"/>
        <w:rPr>
          <w:sz w:val="24"/>
          <w:szCs w:val="24"/>
          <w:lang w:val="ru-RU"/>
        </w:rPr>
      </w:pPr>
      <w:r>
        <w:rPr>
          <w:color w:val="000000"/>
          <w:sz w:val="24"/>
          <w:szCs w:val="24"/>
          <w:highlight w:val="white"/>
          <w:lang w:val="ru-RU"/>
        </w:rPr>
        <w:t xml:space="preserve">За результатом розгляду пропозиції учасника, та у разі встановлення відповідності його пропозиції умовам, що встановлені в оголошенні та Документації, Замовник приймає рішення про намір укласти договір. </w:t>
      </w:r>
    </w:p>
    <w:p>
      <w:pPr>
        <w:pStyle w:val="Normal"/>
        <w:rPr>
          <w:b/>
          <w:b/>
          <w:sz w:val="24"/>
          <w:szCs w:val="24"/>
        </w:rPr>
      </w:pPr>
      <w:r>
        <w:rPr>
          <w:b/>
          <w:sz w:val="24"/>
          <w:szCs w:val="24"/>
          <w:lang w:val="ru-RU"/>
        </w:rPr>
        <w:t xml:space="preserve">Розділ </w:t>
      </w:r>
      <w:r>
        <w:rPr>
          <w:b/>
          <w:sz w:val="24"/>
          <w:szCs w:val="24"/>
        </w:rPr>
        <w:t>V</w:t>
      </w:r>
      <w:r>
        <w:rPr>
          <w:b/>
          <w:sz w:val="24"/>
          <w:szCs w:val="24"/>
          <w:lang w:val="ru-RU"/>
        </w:rPr>
        <w:t xml:space="preserve">. Проект договору та умови, які будуть включені до договору про закупівлю. </w:t>
      </w:r>
      <w:r>
        <w:rPr>
          <w:b/>
          <w:sz w:val="24"/>
          <w:szCs w:val="24"/>
        </w:rPr>
        <w:t>Строки та умови підписання договору</w:t>
      </w:r>
    </w:p>
    <w:p>
      <w:pPr>
        <w:pStyle w:val="Normal"/>
        <w:numPr>
          <w:ilvl w:val="0"/>
          <w:numId w:val="3"/>
        </w:numPr>
        <w:ind w:left="180" w:hanging="180"/>
        <w:jc w:val="both"/>
        <w:rPr>
          <w:sz w:val="24"/>
          <w:szCs w:val="24"/>
          <w:lang w:val="ru-RU"/>
        </w:rPr>
      </w:pPr>
      <w:r>
        <w:rPr>
          <w:sz w:val="24"/>
          <w:szCs w:val="24"/>
          <w:lang w:val="ru-RU"/>
        </w:rPr>
        <w:t>У данному розділі наводиться проект договору, та умови які будуть включені до договору в момент підписання його із учасником переможцеи. Поданням своєї пропзиції учасник погоджується з його змістом та підтверджує свою згоду на підписання Договору з Замовником (із врахуванням умов пропозиції учасника за результатом проведення закупівлі).</w:t>
      </w:r>
    </w:p>
    <w:p>
      <w:pPr>
        <w:pStyle w:val="Normal"/>
        <w:numPr>
          <w:ilvl w:val="0"/>
          <w:numId w:val="3"/>
        </w:numPr>
        <w:ind w:left="180" w:hanging="180"/>
        <w:jc w:val="both"/>
        <w:rPr>
          <w:sz w:val="24"/>
          <w:szCs w:val="24"/>
          <w:lang w:val="ru-RU"/>
        </w:rPr>
      </w:pPr>
      <w:r>
        <w:rPr>
          <w:sz w:val="24"/>
          <w:szCs w:val="24"/>
          <w:lang w:val="ru-RU"/>
        </w:rPr>
        <w:t>Погодженням учасника із умовами проекту договору є подання пропозиції від такого учасника за данною закупівлі.</w:t>
      </w:r>
    </w:p>
    <w:p>
      <w:pPr>
        <w:pStyle w:val="Normal"/>
        <w:numPr>
          <w:ilvl w:val="1"/>
          <w:numId w:val="3"/>
        </w:numPr>
        <w:ind w:left="180" w:hanging="180"/>
        <w:jc w:val="both"/>
        <w:rPr>
          <w:sz w:val="24"/>
          <w:szCs w:val="24"/>
          <w:lang w:val="ru-RU"/>
        </w:rPr>
      </w:pPr>
      <w:r>
        <w:rPr>
          <w:sz w:val="24"/>
          <w:szCs w:val="24"/>
          <w:lang w:val="ru-RU"/>
        </w:rPr>
        <w:t>Інші умови проекту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пропозиції.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pPr>
        <w:pStyle w:val="Normal"/>
        <w:numPr>
          <w:ilvl w:val="1"/>
          <w:numId w:val="3"/>
        </w:numPr>
        <w:ind w:left="180" w:hanging="180"/>
        <w:jc w:val="both"/>
        <w:rPr>
          <w:sz w:val="24"/>
          <w:szCs w:val="24"/>
          <w:lang w:val="ru-RU"/>
        </w:rPr>
      </w:pPr>
      <w:r>
        <w:rPr>
          <w:sz w:val="24"/>
          <w:szCs w:val="24"/>
          <w:lang w:val="ru-RU"/>
        </w:rPr>
        <w:t>У разі надання учасником у складі пропозиції інформаційного листа зі змістовним поясненням або пропозицією з обґрунтуванням внесення пропонуємих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pPr>
        <w:pStyle w:val="Normal"/>
        <w:numPr>
          <w:ilvl w:val="0"/>
          <w:numId w:val="5"/>
        </w:numPr>
        <w:ind w:left="180" w:hanging="180"/>
        <w:jc w:val="both"/>
        <w:rPr>
          <w:b/>
          <w:b/>
          <w:sz w:val="24"/>
          <w:szCs w:val="24"/>
          <w:lang w:val="ru-RU"/>
        </w:rPr>
      </w:pPr>
      <w:r>
        <w:rPr>
          <w:color w:val="000000"/>
          <w:sz w:val="24"/>
          <w:szCs w:val="24"/>
          <w:highlight w:val="white"/>
          <w:lang w:val="ru-RU"/>
        </w:rPr>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pPr>
        <w:pStyle w:val="Normal"/>
        <w:numPr>
          <w:ilvl w:val="0"/>
          <w:numId w:val="5"/>
        </w:numPr>
        <w:ind w:left="180" w:hanging="180"/>
        <w:jc w:val="both"/>
        <w:rPr>
          <w:b/>
          <w:b/>
          <w:sz w:val="24"/>
          <w:szCs w:val="24"/>
        </w:rPr>
      </w:pPr>
      <w:r>
        <w:rPr>
          <w:color w:val="000000"/>
          <w:sz w:val="24"/>
          <w:szCs w:val="24"/>
          <w:highlight w:val="white"/>
          <w:lang w:val="ru-RU"/>
        </w:rPr>
        <w:t xml:space="preserve">Протягом 2 робочих днів з дня прийняття рішення про намір укласти договір учасником-переможцем за адресою Замовника направляється підписаний договір (в двох автентичних екземплярах) із заповненими даними згідно до умов пропозиції, яка була прийнята Замовником та інформацію </w:t>
      </w:r>
      <w:r>
        <w:rPr>
          <w:color w:val="000000"/>
          <w:sz w:val="24"/>
          <w:szCs w:val="24"/>
          <w:highlight w:val="white"/>
        </w:rPr>
        <w:t>(або документ(и)) про право підписання договору про закупівлю.</w:t>
      </w:r>
    </w:p>
    <w:p>
      <w:pPr>
        <w:pStyle w:val="Normal"/>
        <w:numPr>
          <w:ilvl w:val="0"/>
          <w:numId w:val="5"/>
        </w:numPr>
        <w:ind w:left="180" w:hanging="180"/>
        <w:jc w:val="both"/>
        <w:rPr>
          <w:b/>
          <w:b/>
          <w:sz w:val="24"/>
          <w:szCs w:val="24"/>
          <w:lang w:val="ru-RU"/>
        </w:rPr>
      </w:pPr>
      <w:r>
        <w:rPr>
          <w:color w:val="000000"/>
          <w:sz w:val="24"/>
          <w:szCs w:val="24"/>
          <w:highlight w:val="white"/>
          <w:lang w:val="ru-RU"/>
        </w:rPr>
        <w:t>Під час укладання договору учасником-преможцем надається:</w:t>
      </w:r>
    </w:p>
    <w:p>
      <w:pPr>
        <w:pStyle w:val="Normal"/>
        <w:numPr>
          <w:ilvl w:val="1"/>
          <w:numId w:val="5"/>
        </w:numPr>
        <w:ind w:left="180" w:hanging="180"/>
        <w:jc w:val="both"/>
        <w:rPr>
          <w:color w:val="000000"/>
          <w:sz w:val="24"/>
          <w:szCs w:val="24"/>
          <w:highlight w:val="white"/>
          <w:lang w:val="ru-RU"/>
        </w:rPr>
      </w:pPr>
      <w:r>
        <w:rPr>
          <w:color w:val="000000"/>
          <w:sz w:val="24"/>
          <w:szCs w:val="24"/>
          <w:highlight w:val="white"/>
          <w:lang w:val="ru-RU"/>
        </w:rPr>
        <w:t>інформацію (або копії документів) про право підписання договору про закупівлю;</w:t>
      </w:r>
    </w:p>
    <w:p>
      <w:pPr>
        <w:pStyle w:val="Normal"/>
        <w:numPr>
          <w:ilvl w:val="1"/>
          <w:numId w:val="5"/>
        </w:numPr>
        <w:ind w:left="180" w:hanging="180"/>
        <w:jc w:val="both"/>
        <w:rPr>
          <w:color w:val="000000"/>
          <w:sz w:val="24"/>
          <w:szCs w:val="24"/>
          <w:highlight w:val="white"/>
          <w:lang w:val="ru-RU"/>
        </w:rPr>
      </w:pPr>
      <w:r>
        <w:rPr>
          <w:color w:val="000000"/>
          <w:sz w:val="24"/>
          <w:szCs w:val="24"/>
          <w:highlight w:val="white"/>
          <w:lang w:val="ru-RU"/>
        </w:rPr>
        <w:t>копія(ї) ліцензії(й) / дозволу(ів) на провадження господарської діяльності, у разі якщо отримання такого дозволу(ів) або ліцензії(й) на провадження виду діяльності, що відповідає предмету закупівлі, передбачено чинним законодавством або витяг з єдиного державного реєстру юридичних осіб, фізичних осіб-підприємців та громадських формувань про рішення органу ліцензування щодо наявності у суб’єкта господарювання права на провадження визначеного ним виду господарської діяльності, що підлягає ліцензуванню (або іншу інформацію, що підтверджує право провадження визначеного ним виду господарської діяльності, що підлягає ліцензуванню).</w:t>
      </w:r>
    </w:p>
    <w:p>
      <w:pPr>
        <w:pStyle w:val="Normal"/>
        <w:numPr>
          <w:ilvl w:val="0"/>
          <w:numId w:val="5"/>
        </w:numPr>
        <w:ind w:left="180" w:hanging="180"/>
        <w:jc w:val="both"/>
        <w:rPr>
          <w:b/>
          <w:b/>
          <w:sz w:val="24"/>
          <w:szCs w:val="24"/>
          <w:lang w:val="ru-RU"/>
        </w:rPr>
      </w:pPr>
      <w:r>
        <w:rPr>
          <w:color w:val="000000"/>
          <w:sz w:val="24"/>
          <w:szCs w:val="24"/>
          <w:highlight w:val="white"/>
          <w:lang w:val="ru-RU"/>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pPr>
        <w:sectPr>
          <w:type w:val="nextPage"/>
          <w:pgSz w:w="11906" w:h="16838"/>
          <w:pgMar w:left="900" w:right="566" w:header="0" w:top="719" w:footer="0" w:bottom="1134" w:gutter="0"/>
          <w:pgNumType w:fmt="decimal"/>
          <w:formProt w:val="false"/>
          <w:textDirection w:val="lrTb"/>
          <w:docGrid w:type="default" w:linePitch="100" w:charSpace="16384"/>
        </w:sectPr>
        <w:pStyle w:val="Normal"/>
        <w:numPr>
          <w:ilvl w:val="0"/>
          <w:numId w:val="5"/>
        </w:numPr>
        <w:ind w:left="180" w:hanging="180"/>
        <w:jc w:val="both"/>
        <w:rPr>
          <w:b/>
          <w:b/>
          <w:sz w:val="24"/>
          <w:szCs w:val="24"/>
        </w:rPr>
      </w:pPr>
      <w:r>
        <w:rPr>
          <w:color w:val="000000"/>
          <w:sz w:val="24"/>
          <w:szCs w:val="24"/>
          <w:highlight w:val="white"/>
        </w:rPr>
        <w:t>Проект договору наводиться нижче</w:t>
      </w:r>
    </w:p>
    <w:p>
      <w:pPr>
        <w:pStyle w:val="Normal"/>
        <w:jc w:val="center"/>
        <w:rPr>
          <w:b/>
          <w:b/>
          <w:sz w:val="28"/>
          <w:szCs w:val="28"/>
        </w:rPr>
      </w:pPr>
      <w:r>
        <w:rPr>
          <w:b/>
          <w:sz w:val="28"/>
          <w:szCs w:val="28"/>
        </w:rPr>
        <w:t>ПРОЕКТ ДОГОВОРУ</w:t>
      </w:r>
    </w:p>
    <w:p>
      <w:pPr>
        <w:pStyle w:val="Normal"/>
        <w:jc w:val="center"/>
        <w:rPr>
          <w:b/>
          <w:b/>
        </w:rPr>
      </w:pPr>
      <w:r>
        <w:rPr>
          <w:b/>
        </w:rPr>
        <w:t>про закупівлю</w:t>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662"/>
        <w:gridCol w:w="4800"/>
      </w:tblGrid>
      <w:tr>
        <w:trPr/>
        <w:tc>
          <w:tcPr>
            <w:tcW w:w="466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rPr>
              <w:t xml:space="preserve"> </w:t>
            </w:r>
            <w:r>
              <w:rPr>
                <w:sz w:val="22"/>
                <w:szCs w:val="22"/>
              </w:rPr>
              <w:t>с. Білоцерківка</w:t>
            </w:r>
          </w:p>
        </w:tc>
        <w:tc>
          <w:tcPr>
            <w:tcW w:w="480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sz w:val="22"/>
                <w:szCs w:val="22"/>
              </w:rPr>
            </w:pPr>
            <w:r>
              <w:rPr>
                <w:sz w:val="22"/>
                <w:szCs w:val="22"/>
              </w:rPr>
              <w:t>«___»____________ 2022 року</w:t>
            </w:r>
          </w:p>
        </w:tc>
      </w:tr>
      <w:tr>
        <w:trPr/>
        <w:tc>
          <w:tcPr>
            <w:tcW w:w="4662"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vertAlign w:val="superscript"/>
              </w:rPr>
              <w:t>(місце укладення договору)</w:t>
            </w:r>
            <w:r>
              <w:rPr>
                <w:sz w:val="22"/>
                <w:szCs w:val="22"/>
              </w:rPr>
              <w:tab/>
            </w:r>
          </w:p>
        </w:tc>
        <w:tc>
          <w:tcPr>
            <w:tcW w:w="4800" w:type="dxa"/>
            <w:tcBorders/>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sz w:val="22"/>
                <w:szCs w:val="22"/>
              </w:rPr>
            </w:pPr>
            <w:r>
              <w:rPr>
                <w:sz w:val="22"/>
                <w:szCs w:val="22"/>
                <w:vertAlign w:val="superscript"/>
              </w:rPr>
              <w:t>(дата)</w:t>
            </w:r>
          </w:p>
        </w:tc>
      </w:tr>
    </w:tbl>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r>
        <w:rPr>
          <w:sz w:val="22"/>
          <w:szCs w:val="2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2"/>
          <w:szCs w:val="22"/>
        </w:rPr>
      </w:pPr>
      <w:bookmarkStart w:id="4" w:name="bookmark=id.2et92p0"/>
      <w:bookmarkStart w:id="5" w:name="bookmark=id.tyjcwt"/>
      <w:bookmarkEnd w:id="4"/>
      <w:bookmarkEnd w:id="5"/>
      <w:r>
        <w:rPr>
          <w:b/>
          <w:sz w:val="22"/>
          <w:szCs w:val="22"/>
        </w:rPr>
        <w:t xml:space="preserve">Виконавчий комітет Білоцерківської сільської ради Миргородського району Полтавської області, </w:t>
      </w:r>
      <w:r>
        <w:rPr>
          <w:sz w:val="22"/>
          <w:szCs w:val="22"/>
        </w:rPr>
        <w:t xml:space="preserve">в особі </w:t>
      </w:r>
      <w:r>
        <w:rPr>
          <w:sz w:val="22"/>
          <w:szCs w:val="22"/>
          <w:u w:val="single"/>
        </w:rPr>
        <w:t>______________________</w:t>
      </w:r>
      <w:r>
        <w:rPr>
          <w:sz w:val="22"/>
          <w:szCs w:val="22"/>
        </w:rPr>
        <w:t xml:space="preserve">, що діє на підставі </w:t>
      </w:r>
      <w:r>
        <w:rPr>
          <w:sz w:val="22"/>
          <w:szCs w:val="22"/>
          <w:u w:val="single"/>
        </w:rPr>
        <w:t>________________</w:t>
      </w:r>
      <w:r>
        <w:rPr>
          <w:sz w:val="22"/>
          <w:szCs w:val="22"/>
        </w:rPr>
        <w:t xml:space="preserve">  (далі – Замовник), з однієї сторони, і ____________________________________________ (</w:t>
      </w:r>
      <w:r>
        <w:rPr>
          <w:i/>
          <w:sz w:val="22"/>
          <w:szCs w:val="22"/>
        </w:rPr>
        <w:t>найменування Учасника-переможця</w:t>
      </w:r>
      <w:r>
        <w:rPr>
          <w:sz w:val="22"/>
          <w:szCs w:val="22"/>
        </w:rPr>
        <w:t>), в особі _____________________________________________ (</w:t>
      </w:r>
      <w:bookmarkStart w:id="6" w:name="bookmark=id.3dy6vkm"/>
      <w:bookmarkEnd w:id="6"/>
      <w:r>
        <w:rPr>
          <w:i/>
          <w:sz w:val="22"/>
          <w:szCs w:val="22"/>
        </w:rPr>
        <w:t>посада, прізвище, ім'я та по батькові</w:t>
      </w:r>
      <w:r>
        <w:rPr>
          <w:sz w:val="22"/>
          <w:szCs w:val="22"/>
        </w:rPr>
        <w:t>), що діє на підставі _________________________________ (</w:t>
      </w:r>
      <w:bookmarkStart w:id="7" w:name="bookmark=id.1t3h5sf"/>
      <w:bookmarkEnd w:id="7"/>
      <w:r>
        <w:rPr>
          <w:i/>
          <w:sz w:val="22"/>
          <w:szCs w:val="22"/>
        </w:rPr>
        <w:t>найменування документа, номер, дата та інші необхідні реквізити</w:t>
      </w:r>
      <w:r>
        <w:rPr>
          <w:sz w:val="22"/>
          <w:szCs w:val="22"/>
        </w:rPr>
        <w:t>) (далі – Постачальник), з іншої сторони, разом - Сторони, уклали цей Договір про таке:</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w:t>
      </w:r>
      <w:r>
        <w:rPr>
          <w:b/>
          <w:smallCaps/>
          <w:sz w:val="22"/>
          <w:szCs w:val="22"/>
          <w:lang w:val="ru-RU"/>
        </w:rPr>
        <w:t>. ПРЕДМЕТ ДОГОВОРУ</w:t>
      </w:r>
    </w:p>
    <w:p>
      <w:pPr>
        <w:pStyle w:val="Normal"/>
        <w:shd w:val="clear" w:color="auto" w:fill="FFFFFF"/>
        <w:ind w:firstLine="539"/>
        <w:jc w:val="both"/>
        <w:rPr>
          <w:b/>
          <w:b/>
          <w:sz w:val="22"/>
          <w:szCs w:val="22"/>
          <w:lang w:val="ru-RU"/>
        </w:rPr>
      </w:pPr>
      <w:r>
        <w:rPr>
          <w:sz w:val="22"/>
          <w:szCs w:val="22"/>
          <w:lang w:val="ru-RU"/>
        </w:rPr>
        <w:t>1.1. Постачальник зобов'язується у 2022 році поставити Замовникові Товар згідно коду ДК 021:2015 (</w:t>
      </w:r>
      <w:r>
        <w:rPr>
          <w:sz w:val="22"/>
          <w:szCs w:val="22"/>
        </w:rPr>
        <w:t>CPV</w:t>
      </w:r>
      <w:r>
        <w:rPr>
          <w:sz w:val="22"/>
          <w:szCs w:val="22"/>
          <w:lang w:val="ru-RU"/>
        </w:rPr>
        <w:t xml:space="preserve"> 2008) – 09130000-9 - Нафта і дистиляти (бензин марки  А-95, дизельне паливо), а саме – </w:t>
      </w:r>
      <w:r>
        <w:rPr>
          <w:b/>
          <w:sz w:val="22"/>
          <w:szCs w:val="22"/>
          <w:lang w:val="ru-RU"/>
        </w:rPr>
        <w:t xml:space="preserve">__________ </w:t>
      </w:r>
      <w:r>
        <w:rPr>
          <w:sz w:val="22"/>
          <w:szCs w:val="22"/>
          <w:lang w:val="ru-RU"/>
        </w:rPr>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1.2. Обсяги закупівлі товарів можуть бути зменшені залежно від реального фінансування видатків Замовника.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sz w:val="22"/>
          <w:szCs w:val="22"/>
          <w:lang w:val="ru-RU"/>
        </w:rPr>
      </w:pPr>
      <w:r>
        <w:rPr>
          <w:b/>
          <w:smallCaps/>
          <w:sz w:val="22"/>
          <w:szCs w:val="22"/>
        </w:rPr>
        <w:t>II</w:t>
      </w:r>
      <w:r>
        <w:rPr>
          <w:b/>
          <w:smallCaps/>
          <w:sz w:val="22"/>
          <w:szCs w:val="22"/>
          <w:lang w:val="ru-RU"/>
        </w:rPr>
        <w:t>. ЯКІСТЬ ТОВАРІВ</w:t>
      </w:r>
    </w:p>
    <w:p>
      <w:pPr>
        <w:pStyle w:val="Normal"/>
        <w:ind w:firstLine="567"/>
        <w:jc w:val="both"/>
        <w:rPr>
          <w:sz w:val="22"/>
          <w:szCs w:val="22"/>
          <w:lang w:val="ru-RU"/>
        </w:rPr>
      </w:pPr>
      <w:r>
        <w:rPr>
          <w:sz w:val="22"/>
          <w:szCs w:val="22"/>
          <w:lang w:val="ru-RU"/>
        </w:rPr>
        <w:t>2.1. Постачальник гарантує якість товарів, що є предметом закупілві за умовами даного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2.2. Постачальник повинен поставити Замовнику товари, якість яких відповідає чинним стандартам, ябо які зазначені у нормативній технічній документації виробника,  а товар, який є частиною предмета закупівлі має відповідні сертифікати якості (відповідності).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III</w:t>
      </w:r>
      <w:r>
        <w:rPr>
          <w:b/>
          <w:smallCaps/>
          <w:sz w:val="22"/>
          <w:szCs w:val="22"/>
          <w:lang w:val="ru-RU"/>
        </w:rPr>
        <w:t>. ЦІНА ТА ЗАГАЛЬНА СУМА ДОГОВОРУ</w:t>
      </w:r>
    </w:p>
    <w:p>
      <w:pPr>
        <w:pStyle w:val="Normal"/>
        <w:ind w:firstLine="567"/>
        <w:jc w:val="both"/>
        <w:rPr>
          <w:sz w:val="22"/>
          <w:szCs w:val="22"/>
          <w:lang w:val="ru-RU"/>
        </w:rPr>
      </w:pPr>
      <w:bookmarkStart w:id="8" w:name="bookmark=id.4d34og8"/>
      <w:bookmarkEnd w:id="8"/>
      <w:r>
        <w:rPr>
          <w:sz w:val="22"/>
          <w:szCs w:val="22"/>
          <w:lang w:val="ru-RU"/>
        </w:rPr>
        <w:t>3.1. Вартість цього Договору становить _____________________ грн. (</w:t>
      </w:r>
      <w:r>
        <w:rPr>
          <w:i/>
          <w:sz w:val="22"/>
          <w:szCs w:val="22"/>
          <w:lang w:val="ru-RU"/>
        </w:rPr>
        <w:t>вказати цифрами та словами</w:t>
      </w:r>
      <w:r>
        <w:rPr>
          <w:sz w:val="22"/>
          <w:szCs w:val="22"/>
          <w:lang w:val="ru-RU"/>
        </w:rPr>
        <w:t>), у т.ч. ПДВ* _______ (</w:t>
      </w:r>
      <w:r>
        <w:rPr>
          <w:i/>
          <w:sz w:val="22"/>
          <w:szCs w:val="22"/>
          <w:lang w:val="ru-RU"/>
        </w:rPr>
        <w:t xml:space="preserve">вартість Договору визначається з урахуванням розділу </w:t>
      </w:r>
      <w:r>
        <w:rPr>
          <w:i/>
          <w:sz w:val="22"/>
          <w:szCs w:val="22"/>
        </w:rPr>
        <w:t>V</w:t>
      </w:r>
      <w:r>
        <w:rPr>
          <w:i/>
          <w:sz w:val="22"/>
          <w:szCs w:val="22"/>
          <w:lang w:val="ru-RU"/>
        </w:rPr>
        <w:t xml:space="preserve"> «Податок на додану вартість»  Податкового кодексу України</w:t>
      </w:r>
      <w:r>
        <w:rPr>
          <w:sz w:val="22"/>
          <w:szCs w:val="22"/>
          <w:lang w:val="ru-RU"/>
        </w:rPr>
        <w:t>).</w:t>
      </w:r>
    </w:p>
    <w:p>
      <w:pPr>
        <w:pStyle w:val="Normal"/>
        <w:ind w:firstLine="567"/>
        <w:jc w:val="both"/>
        <w:rPr>
          <w:sz w:val="22"/>
          <w:szCs w:val="22"/>
          <w:lang w:val="ru-RU"/>
        </w:rPr>
      </w:pPr>
      <w:r>
        <w:rPr>
          <w:sz w:val="22"/>
          <w:szCs w:val="22"/>
          <w:lang w:val="ru-RU"/>
        </w:rPr>
        <w:t>3.2. Ціна товару кожного найменування зазначається у специфікації, яка додається до договору і яка є його невід’ємною частиною.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3.3. Валютою Договору є українська гривня. </w:t>
      </w:r>
    </w:p>
    <w:p>
      <w:pPr>
        <w:pStyle w:val="Normal"/>
        <w:ind w:firstLine="567"/>
        <w:rPr>
          <w:sz w:val="22"/>
          <w:szCs w:val="22"/>
          <w:lang w:val="ru-RU"/>
        </w:rPr>
      </w:pPr>
      <w:r>
        <w:rPr>
          <w:sz w:val="22"/>
          <w:szCs w:val="22"/>
          <w:lang w:val="ru-RU"/>
        </w:rPr>
        <w:t>3.4. Сума цього Договору може бути зменшена за взаємною згодою обох Сторін.</w:t>
      </w:r>
    </w:p>
    <w:p>
      <w:pPr>
        <w:pStyle w:val="Normal"/>
        <w:ind w:firstLine="567"/>
        <w:rPr>
          <w:sz w:val="22"/>
          <w:szCs w:val="22"/>
          <w:lang w:val="ru-RU"/>
        </w:rPr>
      </w:pPr>
      <w:r>
        <w:rPr>
          <w:sz w:val="22"/>
          <w:szCs w:val="22"/>
          <w:lang w:val="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IV</w:t>
      </w:r>
      <w:r>
        <w:rPr>
          <w:b/>
          <w:smallCaps/>
          <w:sz w:val="22"/>
          <w:szCs w:val="22"/>
          <w:lang w:val="ru-RU"/>
        </w:rPr>
        <w:t>. ПОРЯДОК ТА УМОВИ ЗДІЙСНЕННЯ ОПЛАТИ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9" w:name="bookmark=id.2s8eyo1"/>
      <w:bookmarkEnd w:id="9"/>
      <w:r>
        <w:rPr>
          <w:sz w:val="22"/>
          <w:szCs w:val="22"/>
          <w:lang w:val="ru-RU"/>
        </w:rPr>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w:t>
      </w:r>
      <w:r>
        <w:rPr>
          <w:b/>
          <w:sz w:val="22"/>
          <w:szCs w:val="22"/>
          <w:lang w:val="ru-RU"/>
        </w:rPr>
        <w:t xml:space="preserve"> </w:t>
      </w:r>
      <w:r>
        <w:rPr>
          <w:sz w:val="22"/>
          <w:szCs w:val="22"/>
          <w:lang w:val="ru-RU"/>
        </w:rPr>
        <w:t>щодо несвоєчасної оплати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4.4. Джерело фінансування закупівлі: __________________________.</w:t>
      </w:r>
    </w:p>
    <w:p>
      <w:pPr>
        <w:pStyle w:val="Normal"/>
        <w:jc w:val="center"/>
        <w:rPr>
          <w:b/>
          <w:b/>
          <w:smallCaps/>
          <w:sz w:val="22"/>
          <w:szCs w:val="22"/>
          <w:lang w:val="ru-RU"/>
        </w:rPr>
      </w:pPr>
      <w:r>
        <w:rPr>
          <w:b/>
          <w:smallCaps/>
          <w:sz w:val="22"/>
          <w:szCs w:val="22"/>
        </w:rPr>
        <w:t>V</w:t>
      </w:r>
      <w:r>
        <w:rPr>
          <w:b/>
          <w:smallCaps/>
          <w:sz w:val="22"/>
          <w:szCs w:val="22"/>
          <w:lang w:val="ru-RU"/>
        </w:rPr>
        <w:t>. ПОСТАЧАННЯ ТОВАРУ(ІВ)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0" w:name="bookmark=id.17dp8vu"/>
      <w:bookmarkEnd w:id="10"/>
      <w:r>
        <w:rPr>
          <w:sz w:val="22"/>
          <w:szCs w:val="22"/>
          <w:lang w:val="ru-RU"/>
        </w:rPr>
        <w:t>5.1. Строк виконання зобов’язань за Договором: Постачальник повинен поставити товари та передати Замовнику протягом __ (__________) календарних днів з дня отримання заявки від Замовника, але в будь-якому випадку до 31 грудня 2022р., а в частині розрахунків – до повного виконання своїх зобов'язань Сторонами.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1" w:name="bookmark=id.26in1rg"/>
      <w:bookmarkStart w:id="12" w:name="bookmark=id.3rdcrjn"/>
      <w:bookmarkEnd w:id="11"/>
      <w:bookmarkEnd w:id="12"/>
      <w:r>
        <w:rPr>
          <w:sz w:val="22"/>
          <w:szCs w:val="22"/>
          <w:lang w:val="ru-RU"/>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5.3. Місце постачання товару(ів) - за адресами АЗС учасника-переможця, або інше що визначено в заявці на отримання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5.4. Замовник має право пред'явити претензію Постачальнику по кількості та якості товару та / або щодо строку постачання товару. </w:t>
      </w:r>
    </w:p>
    <w:p>
      <w:pPr>
        <w:pStyle w:val="Normal"/>
        <w:ind w:firstLine="540"/>
        <w:jc w:val="both"/>
        <w:rPr>
          <w:sz w:val="22"/>
          <w:szCs w:val="22"/>
          <w:lang w:val="ru-RU"/>
        </w:rPr>
      </w:pPr>
      <w:r>
        <w:rPr>
          <w:sz w:val="22"/>
          <w:szCs w:val="22"/>
          <w:lang w:val="ru-RU"/>
        </w:rPr>
        <w:t>5.5.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VI</w:t>
      </w:r>
      <w:r>
        <w:rPr>
          <w:b/>
          <w:smallCaps/>
          <w:sz w:val="22"/>
          <w:szCs w:val="22"/>
          <w:lang w:val="ru-RU"/>
        </w:rPr>
        <w:t>.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13" w:name="bookmark=id.lnxbz9"/>
      <w:bookmarkEnd w:id="13"/>
      <w:r>
        <w:rPr>
          <w:b/>
          <w:sz w:val="22"/>
          <w:szCs w:val="22"/>
          <w:lang w:val="ru-RU"/>
        </w:rPr>
        <w:t>6.1. Замовник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4" w:name="bookmark=id.35nkun2"/>
      <w:bookmarkEnd w:id="14"/>
      <w:r>
        <w:rPr>
          <w:sz w:val="22"/>
          <w:szCs w:val="22"/>
          <w:lang w:val="ru-RU"/>
        </w:rPr>
        <w:t>6.1.1. Приймати поставлені товари, у разі дотримання відповідності якісних умов предмету закупівлі Постачальником.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5" w:name="bookmark=id.1ksv4uv"/>
      <w:bookmarkEnd w:id="15"/>
      <w:r>
        <w:rPr>
          <w:sz w:val="22"/>
          <w:szCs w:val="22"/>
          <w:lang w:val="ru-RU"/>
        </w:rPr>
        <w:t>6.1.2. Висувати претензію на отримання товару, що є предметом закупівлі у строки та на умовах викладених у даному договорі. Притензія на отримання товару готується у вигляді заявки.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6.1.3.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16" w:name="bookmark=id.44sinio"/>
      <w:bookmarkEnd w:id="16"/>
      <w:r>
        <w:rPr>
          <w:b/>
          <w:sz w:val="22"/>
          <w:szCs w:val="22"/>
          <w:lang w:val="ru-RU"/>
        </w:rPr>
        <w:t>6.2. Замовник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7" w:name="bookmark=id.2jxsxqh"/>
      <w:bookmarkEnd w:id="17"/>
      <w:r>
        <w:rPr>
          <w:sz w:val="22"/>
          <w:szCs w:val="22"/>
          <w:lang w:val="ru-RU"/>
        </w:rPr>
        <w:t>6.2.1. Достроково розірвати цей Договір у разі невиконання зобов'язань Постачальником, повідомивши про це його у місячний строк;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8" w:name="bookmark=id.z337ya"/>
      <w:bookmarkEnd w:id="18"/>
      <w:r>
        <w:rPr>
          <w:sz w:val="22"/>
          <w:szCs w:val="22"/>
          <w:lang w:val="ru-RU"/>
        </w:rPr>
        <w:t>6.2.2. Контролювати постачання товару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19" w:name="bookmark=id.3j2qqm3"/>
      <w:bookmarkEnd w:id="19"/>
      <w:r>
        <w:rPr>
          <w:sz w:val="22"/>
          <w:szCs w:val="22"/>
          <w:lang w:val="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0" w:name="bookmark=id.1y810tw"/>
      <w:bookmarkEnd w:id="20"/>
      <w:r>
        <w:rPr>
          <w:sz w:val="22"/>
          <w:szCs w:val="22"/>
          <w:lang w:val="ru-RU"/>
        </w:rPr>
        <w:t xml:space="preserve">6.2.4. Повернути рахунок Постачальнику без здійснення оплати в разі неналежного оформлення документів, зазначених у пункті 4.2 розділу </w:t>
      </w:r>
      <w:r>
        <w:rPr>
          <w:sz w:val="22"/>
          <w:szCs w:val="22"/>
        </w:rPr>
        <w:t>IV</w:t>
      </w:r>
      <w:r>
        <w:rPr>
          <w:sz w:val="22"/>
          <w:szCs w:val="22"/>
          <w:lang w:val="ru-RU"/>
        </w:rPr>
        <w:t xml:space="preserve"> цього Договору (відсутність печатки, підписів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6.2.5.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21" w:name="bookmark=id.2xcytpi"/>
      <w:bookmarkStart w:id="22" w:name="bookmark=id.4i7ojhp"/>
      <w:bookmarkEnd w:id="21"/>
      <w:bookmarkEnd w:id="22"/>
      <w:r>
        <w:rPr>
          <w:b/>
          <w:sz w:val="22"/>
          <w:szCs w:val="22"/>
          <w:lang w:val="ru-RU"/>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3" w:name="bookmark=id.1ci93xb"/>
      <w:bookmarkEnd w:id="23"/>
      <w:r>
        <w:rPr>
          <w:sz w:val="22"/>
          <w:szCs w:val="22"/>
          <w:lang w:val="ru-RU"/>
        </w:rPr>
        <w:t>6.3.1. Забезпечити постачання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4" w:name="bookmark=id.3whwml4"/>
      <w:bookmarkEnd w:id="24"/>
      <w:r>
        <w:rPr>
          <w:sz w:val="22"/>
          <w:szCs w:val="22"/>
          <w:lang w:val="ru-RU"/>
        </w:rPr>
        <w:t xml:space="preserve">6.3.2. Забезпечити постачання товарів, якість яких відповідає умовам, установленим розділом </w:t>
      </w:r>
      <w:r>
        <w:rPr>
          <w:sz w:val="22"/>
          <w:szCs w:val="22"/>
        </w:rPr>
        <w:t>II</w:t>
      </w:r>
      <w:r>
        <w:rPr>
          <w:sz w:val="22"/>
          <w:szCs w:val="22"/>
          <w:lang w:val="ru-RU"/>
        </w:rPr>
        <w:t xml:space="preserve">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6.3.3. Здійснювати заходи із захисту довкілля при виконанні зобов’язань за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6.3.4. Здійснювати виконання умов Договору за цінами товару, який є складовою частиною предмета данного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bookmarkStart w:id="25" w:name="bookmark=id.qsh70q"/>
      <w:bookmarkStart w:id="26" w:name="bookmark=id.2bn6wsx"/>
      <w:bookmarkEnd w:id="25"/>
      <w:bookmarkEnd w:id="26"/>
      <w:r>
        <w:rPr>
          <w:b/>
          <w:sz w:val="22"/>
          <w:szCs w:val="22"/>
          <w:lang w:val="ru-RU"/>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7" w:name="bookmark=id.3as4poj"/>
      <w:bookmarkEnd w:id="27"/>
      <w:r>
        <w:rPr>
          <w:sz w:val="22"/>
          <w:szCs w:val="22"/>
          <w:lang w:val="ru-RU"/>
        </w:rPr>
        <w:t>6.4.2. На дострокове виконання зобов’язань в частині виконання своїх зобов’язань за даним Договором, у разі отримання письмовго погодженням на те від Замовника;</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28" w:name="bookmark=id.1pxezwc"/>
      <w:bookmarkEnd w:id="28"/>
      <w:r>
        <w:rPr>
          <w:sz w:val="22"/>
          <w:szCs w:val="22"/>
          <w:lang w:val="ru-RU"/>
        </w:rPr>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6.4.4. збільшувати ціну за одиницю товару, який є частиною предмета закупівлі за даним Договором,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відповідному регіоні.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bookmarkStart w:id="29" w:name="bookmark=id.49x2ik5"/>
      <w:bookmarkEnd w:id="29"/>
      <w:r>
        <w:rPr>
          <w:b/>
          <w:smallCaps/>
          <w:sz w:val="22"/>
          <w:szCs w:val="22"/>
        </w:rPr>
        <w:t>VII</w:t>
      </w:r>
      <w:r>
        <w:rPr>
          <w:b/>
          <w:smallCaps/>
          <w:sz w:val="22"/>
          <w:szCs w:val="22"/>
          <w:lang w:val="ru-RU"/>
        </w:rPr>
        <w:t>. ВІДПОВІДАЛЬНІСТЬ СТОРІН</w:t>
      </w:r>
      <w:bookmarkStart w:id="30" w:name="bookmark=id.2p2csry"/>
      <w:bookmarkEnd w:id="30"/>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1" w:name="bookmark=id.147n2zr"/>
      <w:bookmarkEnd w:id="31"/>
      <w:r>
        <w:rPr>
          <w:sz w:val="22"/>
          <w:szCs w:val="22"/>
          <w:lang w:val="ru-RU"/>
        </w:rPr>
        <w:t>7.3. Жодна із Сторін не має права передавати свої права та обов’язки за цим Договором третім особам без письмової згоди на те іншої Сторони.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7.4. У випадках, не передбачених цим Договором, Сторони несуть відповідальність, передбачену чинним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VIII</w:t>
      </w:r>
      <w:r>
        <w:rPr>
          <w:b/>
          <w:smallCaps/>
          <w:sz w:val="22"/>
          <w:szCs w:val="22"/>
          <w:lang w:val="ru-RU"/>
        </w:rPr>
        <w:t>. ОБСТАВИНИ НЕПЕРЕБОРНОЇ СИЛИ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2" w:name="bookmark=id.3o7alnk"/>
      <w:bookmarkEnd w:id="32"/>
      <w:r>
        <w:rPr>
          <w:sz w:val="22"/>
          <w:szCs w:val="22"/>
          <w:lang w:val="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3" w:name="bookmark=id.23ckvvd"/>
      <w:bookmarkEnd w:id="33"/>
      <w:r>
        <w:rPr>
          <w:sz w:val="22"/>
          <w:szCs w:val="22"/>
          <w:lang w:val="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4" w:name="bookmark=id.ihv636"/>
      <w:bookmarkEnd w:id="34"/>
      <w:r>
        <w:rPr>
          <w:sz w:val="22"/>
          <w:szCs w:val="22"/>
          <w:lang w:val="ru-RU"/>
        </w:rPr>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5" w:name="bookmark=id.32hioqz"/>
      <w:bookmarkEnd w:id="35"/>
      <w:r>
        <w:rPr>
          <w:sz w:val="22"/>
          <w:szCs w:val="22"/>
          <w:lang w:val="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color w:val="000000"/>
        </w:rPr>
      </w:pPr>
      <w:r>
        <w:rPr>
          <w:color w:val="000000"/>
          <w:sz w:val="22"/>
          <w:szCs w:val="22"/>
          <w:lang w:val="ru-RU"/>
        </w:rPr>
        <w:t>8.5.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color w:val="0070C0"/>
          <w:sz w:val="22"/>
          <w:szCs w:val="22"/>
          <w:lang w:val="ru-RU"/>
        </w:rPr>
      </w:pPr>
      <w:r>
        <w:rPr>
          <w:color w:val="000000"/>
          <w:sz w:val="22"/>
          <w:szCs w:val="22"/>
          <w:lang w:val="ru-RU"/>
        </w:rPr>
        <w:t>8.6.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8.5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8.5 цього договору про закупівлю, негайно письмово повідомляє другу Сторону про такі обставини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IX</w:t>
      </w:r>
      <w:r>
        <w:rPr>
          <w:b/>
          <w:smallCaps/>
          <w:sz w:val="22"/>
          <w:szCs w:val="22"/>
          <w:lang w:val="ru-RU"/>
        </w:rPr>
        <w:t>. ВИРІШЕННЯ СПОРІВ</w:t>
      </w:r>
    </w:p>
    <w:p>
      <w:pPr>
        <w:pStyle w:val="Normal"/>
        <w:ind w:firstLine="540"/>
        <w:jc w:val="both"/>
        <w:rPr>
          <w:sz w:val="22"/>
          <w:szCs w:val="22"/>
          <w:lang w:val="ru-RU"/>
        </w:rPr>
      </w:pPr>
      <w:bookmarkStart w:id="36" w:name="bookmark=id.1hmsyys"/>
      <w:bookmarkEnd w:id="36"/>
      <w:r>
        <w:rPr>
          <w:sz w:val="22"/>
          <w:szCs w:val="22"/>
          <w:lang w:val="ru-RU"/>
        </w:rPr>
        <w:t>9.1. Усі спори та розбіжності, які виникли впродовж терміну дії Договору, вирішуються Сторонами шляхом переговорів.</w:t>
      </w:r>
    </w:p>
    <w:p>
      <w:pPr>
        <w:pStyle w:val="Normal"/>
        <w:ind w:firstLine="540"/>
        <w:jc w:val="both"/>
        <w:rPr>
          <w:sz w:val="22"/>
          <w:szCs w:val="22"/>
          <w:lang w:val="ru-RU"/>
        </w:rPr>
      </w:pPr>
      <w:r>
        <w:rPr>
          <w:sz w:val="22"/>
          <w:szCs w:val="22"/>
          <w:lang w:val="ru-RU"/>
        </w:rPr>
        <w:t>9.2. Спірні питання, з яких Сторони не дійшли згоди шляхом переговорів, розв’язуються у відповідності до законодавства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smallCaps/>
          <w:sz w:val="22"/>
          <w:szCs w:val="22"/>
          <w:lang w:val="ru-RU"/>
        </w:rPr>
      </w:pPr>
      <w:r>
        <w:rPr>
          <w:b/>
          <w:smallCaps/>
          <w:sz w:val="22"/>
          <w:szCs w:val="22"/>
        </w:rPr>
        <w:t>X</w:t>
      </w:r>
      <w:r>
        <w:rPr>
          <w:b/>
          <w:smallCaps/>
          <w:sz w:val="22"/>
          <w:szCs w:val="22"/>
          <w:lang w:val="ru-RU"/>
        </w:rPr>
        <w:t>.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bookmarkStart w:id="37" w:name="bookmark=id.41mghml"/>
      <w:bookmarkEnd w:id="37"/>
      <w:r>
        <w:rPr>
          <w:sz w:val="22"/>
          <w:szCs w:val="22"/>
          <w:lang w:val="ru-RU"/>
        </w:rPr>
        <w:t xml:space="preserve">10.1. Цей Договір набирає чинності з дня його підписання і діє до 31.12.2022 року (включно), але в будь-якому випадку до повного виконання Сторонами своїх зобов’язань за ним. </w:t>
      </w:r>
    </w:p>
    <w:p>
      <w:pPr>
        <w:pStyle w:val="Normal"/>
        <w:ind w:firstLine="567"/>
        <w:jc w:val="both"/>
        <w:rPr>
          <w:sz w:val="22"/>
          <w:szCs w:val="22"/>
          <w:lang w:val="ru-RU"/>
        </w:rPr>
      </w:pPr>
      <w:bookmarkStart w:id="38" w:name="bookmark=id.2grqrue"/>
      <w:bookmarkEnd w:id="38"/>
      <w:r>
        <w:rPr>
          <w:sz w:val="22"/>
          <w:szCs w:val="22"/>
          <w:lang w:val="ru-RU"/>
        </w:rPr>
        <w:t>10.2. Цей Договір вступає в силу з моменту його підписання Сторонами.</w:t>
      </w:r>
    </w:p>
    <w:p>
      <w:pPr>
        <w:pStyle w:val="Normal"/>
        <w:ind w:firstLine="567"/>
        <w:jc w:val="both"/>
        <w:rPr>
          <w:sz w:val="22"/>
          <w:szCs w:val="22"/>
          <w:lang w:val="ru-RU"/>
        </w:rPr>
      </w:pPr>
      <w:r>
        <w:rPr>
          <w:sz w:val="22"/>
          <w:szCs w:val="22"/>
          <w:lang w:val="ru-RU"/>
        </w:rPr>
        <w:t>10.3. Дія Договору припиняється:</w:t>
      </w:r>
    </w:p>
    <w:p>
      <w:pPr>
        <w:pStyle w:val="Normal"/>
        <w:ind w:firstLine="709"/>
        <w:jc w:val="both"/>
        <w:rPr>
          <w:sz w:val="22"/>
          <w:szCs w:val="22"/>
          <w:lang w:val="ru-RU"/>
        </w:rPr>
      </w:pPr>
      <w:r>
        <w:rPr>
          <w:sz w:val="22"/>
          <w:szCs w:val="22"/>
          <w:lang w:val="ru-RU"/>
        </w:rPr>
        <w:t>- 31.12.2022 р.;</w:t>
      </w:r>
    </w:p>
    <w:p>
      <w:pPr>
        <w:pStyle w:val="Normal"/>
        <w:ind w:firstLine="709"/>
        <w:jc w:val="both"/>
        <w:rPr>
          <w:sz w:val="22"/>
          <w:szCs w:val="22"/>
          <w:lang w:val="ru-RU"/>
        </w:rPr>
      </w:pPr>
      <w:r>
        <w:rPr>
          <w:sz w:val="22"/>
          <w:szCs w:val="22"/>
          <w:lang w:val="ru-RU"/>
        </w:rPr>
        <w:t>- достроково за згодою Сторін, у строк визначений Сторонами в установленому даним Договором порядку;</w:t>
      </w:r>
    </w:p>
    <w:p>
      <w:pPr>
        <w:pStyle w:val="Normal"/>
        <w:ind w:firstLine="709"/>
        <w:jc w:val="both"/>
        <w:rPr>
          <w:sz w:val="22"/>
          <w:szCs w:val="22"/>
          <w:lang w:val="ru-RU"/>
        </w:rPr>
      </w:pPr>
      <w:r>
        <w:rPr>
          <w:sz w:val="22"/>
          <w:szCs w:val="22"/>
          <w:lang w:val="ru-RU"/>
        </w:rPr>
        <w:t>- з інших підстав, передбачених чинним законодавством України, та умовами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XI</w:t>
      </w:r>
      <w:r>
        <w:rPr>
          <w:b/>
          <w:smallCaps/>
          <w:sz w:val="22"/>
          <w:szCs w:val="22"/>
          <w:lang w:val="ru-RU"/>
        </w:rPr>
        <w:t>. ІНШІ УМОВИ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p>
    <w:p>
      <w:pPr>
        <w:pStyle w:val="Normal"/>
        <w:ind w:firstLine="567"/>
        <w:jc w:val="both"/>
        <w:rPr>
          <w:sz w:val="22"/>
          <w:szCs w:val="22"/>
          <w:lang w:val="ru-RU"/>
        </w:rPr>
      </w:pPr>
      <w:r>
        <w:rPr>
          <w:sz w:val="22"/>
          <w:szCs w:val="22"/>
          <w:lang w:val="ru-RU"/>
        </w:rPr>
        <w:t>11.2. Постачальник є платником податку на _______________________.</w:t>
      </w:r>
    </w:p>
    <w:p>
      <w:pPr>
        <w:pStyle w:val="Normal"/>
        <w:ind w:firstLine="567"/>
        <w:jc w:val="both"/>
        <w:rPr>
          <w:sz w:val="22"/>
          <w:szCs w:val="22"/>
          <w:lang w:val="ru-RU"/>
        </w:rPr>
      </w:pPr>
      <w:r>
        <w:rPr>
          <w:sz w:val="22"/>
          <w:szCs w:val="22"/>
          <w:lang w:val="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pPr>
        <w:pStyle w:val="Normal"/>
        <w:ind w:firstLine="567"/>
        <w:jc w:val="both"/>
        <w:rPr>
          <w:sz w:val="22"/>
          <w:szCs w:val="22"/>
          <w:lang w:val="ru-RU"/>
        </w:rPr>
      </w:pPr>
      <w:r>
        <w:rPr>
          <w:sz w:val="22"/>
          <w:szCs w:val="22"/>
          <w:lang w:val="ru-RU"/>
        </w:rPr>
        <w:t xml:space="preserve">11.4. Порядок змін умов Договору: </w:t>
      </w:r>
    </w:p>
    <w:p>
      <w:pPr>
        <w:pStyle w:val="Normal"/>
        <w:ind w:firstLine="567"/>
        <w:jc w:val="both"/>
        <w:rPr>
          <w:sz w:val="22"/>
          <w:szCs w:val="22"/>
          <w:lang w:val="ru-RU"/>
        </w:rPr>
      </w:pPr>
      <w:r>
        <w:rPr>
          <w:sz w:val="22"/>
          <w:szCs w:val="22"/>
          <w:lang w:val="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pPr>
        <w:pStyle w:val="Normal"/>
        <w:ind w:firstLine="567"/>
        <w:jc w:val="both"/>
        <w:rPr>
          <w:sz w:val="22"/>
          <w:szCs w:val="22"/>
          <w:lang w:val="ru-RU"/>
        </w:rPr>
      </w:pPr>
      <w:r>
        <w:rPr>
          <w:sz w:val="22"/>
          <w:szCs w:val="22"/>
          <w:lang w:val="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pPr>
        <w:pStyle w:val="Normal"/>
        <w:ind w:firstLine="567"/>
        <w:jc w:val="both"/>
        <w:rPr>
          <w:sz w:val="22"/>
          <w:szCs w:val="22"/>
          <w:lang w:val="ru-RU"/>
        </w:rPr>
      </w:pPr>
      <w:r>
        <w:rPr>
          <w:sz w:val="22"/>
          <w:szCs w:val="22"/>
          <w:lang w:val="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pPr>
        <w:pStyle w:val="Normal"/>
        <w:ind w:firstLine="567"/>
        <w:jc w:val="both"/>
        <w:rPr>
          <w:sz w:val="22"/>
          <w:szCs w:val="22"/>
          <w:lang w:val="ru-RU"/>
        </w:rPr>
      </w:pPr>
      <w:r>
        <w:rPr>
          <w:sz w:val="22"/>
          <w:szCs w:val="22"/>
          <w:lang w:val="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pPr>
        <w:pStyle w:val="Normal"/>
        <w:ind w:firstLine="567"/>
        <w:jc w:val="both"/>
        <w:rPr>
          <w:sz w:val="22"/>
          <w:szCs w:val="22"/>
          <w:lang w:val="ru-RU"/>
        </w:rPr>
      </w:pPr>
      <w:r>
        <w:rPr>
          <w:sz w:val="22"/>
          <w:szCs w:val="22"/>
          <w:lang w:val="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pPr>
        <w:pStyle w:val="Normal"/>
        <w:ind w:firstLine="567"/>
        <w:jc w:val="both"/>
        <w:rPr>
          <w:sz w:val="22"/>
          <w:szCs w:val="22"/>
          <w:lang w:val="ru-RU"/>
        </w:rPr>
      </w:pPr>
      <w:r>
        <w:rPr>
          <w:sz w:val="22"/>
          <w:szCs w:val="22"/>
          <w:lang w:val="ru-RU"/>
        </w:rPr>
        <w:t>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п.11.4.3 Договору.</w:t>
      </w:r>
    </w:p>
    <w:p>
      <w:pPr>
        <w:pStyle w:val="Normal"/>
        <w:ind w:firstLine="567"/>
        <w:jc w:val="both"/>
        <w:rPr>
          <w:sz w:val="22"/>
          <w:szCs w:val="22"/>
          <w:lang w:val="ru-RU"/>
        </w:rPr>
      </w:pPr>
      <w:r>
        <w:rPr>
          <w:sz w:val="22"/>
          <w:szCs w:val="22"/>
          <w:lang w:val="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pPr>
        <w:pStyle w:val="Normal"/>
        <w:ind w:firstLine="567"/>
        <w:jc w:val="both"/>
        <w:rPr>
          <w:sz w:val="22"/>
          <w:szCs w:val="22"/>
          <w:lang w:val="ru-RU"/>
        </w:rPr>
      </w:pPr>
      <w:r>
        <w:rPr>
          <w:sz w:val="22"/>
          <w:szCs w:val="22"/>
          <w:lang w:val="ru-RU"/>
        </w:rPr>
        <w:t>11.5. Жодна із Сторін не має права передавати свої права та обов’язки за цим Договором третім особам без письмової згоди іншої Сторони.</w:t>
      </w:r>
    </w:p>
    <w:p>
      <w:pPr>
        <w:pStyle w:val="Normal"/>
        <w:ind w:firstLine="567"/>
        <w:jc w:val="both"/>
        <w:rPr>
          <w:sz w:val="22"/>
          <w:szCs w:val="22"/>
          <w:lang w:val="ru-RU"/>
        </w:rPr>
      </w:pPr>
      <w:r>
        <w:rPr>
          <w:sz w:val="22"/>
          <w:szCs w:val="22"/>
          <w:lang w:val="ru-RU"/>
        </w:rPr>
        <w:t>11.6. У випадках, не передбачених цим Договором, Сторони керуються чинним законодавством України.</w:t>
      </w:r>
    </w:p>
    <w:p>
      <w:pPr>
        <w:pStyle w:val="Normal"/>
        <w:ind w:firstLine="567"/>
        <w:jc w:val="both"/>
        <w:rPr>
          <w:sz w:val="22"/>
          <w:szCs w:val="22"/>
          <w:lang w:val="ru-RU"/>
        </w:rPr>
      </w:pPr>
      <w:r>
        <w:rPr>
          <w:sz w:val="22"/>
          <w:szCs w:val="22"/>
          <w:lang w:val="ru-RU"/>
        </w:rPr>
        <w:t>11.7. Цей Договір складено у двох оригінальних примірниках, по одному для кожної зі Сторін, які мають рівну юридичну силу.</w:t>
      </w:r>
    </w:p>
    <w:p>
      <w:pPr>
        <w:pStyle w:val="Normal"/>
        <w:ind w:firstLine="567"/>
        <w:jc w:val="both"/>
        <w:rPr>
          <w:sz w:val="22"/>
          <w:szCs w:val="22"/>
          <w:lang w:val="ru-RU"/>
        </w:rPr>
      </w:pPr>
      <w:r>
        <w:rPr>
          <w:sz w:val="22"/>
          <w:szCs w:val="22"/>
          <w:lang w:val="ru-RU"/>
        </w:rPr>
        <w:t>11.8. Невід'ємною частиною цього Договору є специфікація.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sz w:val="22"/>
          <w:szCs w:val="22"/>
          <w:lang w:val="ru-RU"/>
        </w:rPr>
      </w:pPr>
      <w:r>
        <w:rPr>
          <w:sz w:val="22"/>
          <w:szCs w:val="22"/>
          <w:lang w:val="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center"/>
        <w:rPr>
          <w:b/>
          <w:b/>
          <w:smallCaps/>
          <w:sz w:val="22"/>
          <w:szCs w:val="22"/>
          <w:lang w:val="ru-RU"/>
        </w:rPr>
      </w:pPr>
      <w:r>
        <w:rPr>
          <w:b/>
          <w:smallCaps/>
          <w:sz w:val="22"/>
          <w:szCs w:val="22"/>
        </w:rPr>
        <w:t>XII</w:t>
      </w:r>
      <w:r>
        <w:rPr>
          <w:b/>
          <w:smallCaps/>
          <w:sz w:val="22"/>
          <w:szCs w:val="22"/>
          <w:lang w:val="ru-RU"/>
        </w:rPr>
        <w:t>.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567"/>
        <w:jc w:val="both"/>
        <w:rPr>
          <w:b/>
          <w:b/>
          <w:sz w:val="22"/>
          <w:szCs w:val="22"/>
          <w:lang w:val="ru-RU"/>
        </w:rPr>
      </w:pPr>
      <w:r>
        <w:rPr>
          <w:sz w:val="22"/>
          <w:szCs w:val="22"/>
          <w:lang w:val="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pPr>
        <w:pStyle w:val="Normal"/>
        <w:ind w:firstLine="567"/>
        <w:jc w:val="both"/>
        <w:rPr>
          <w:sz w:val="22"/>
          <w:szCs w:val="22"/>
          <w:lang w:val="ru-RU"/>
        </w:rPr>
      </w:pPr>
      <w:r>
        <w:rPr>
          <w:sz w:val="22"/>
          <w:szCs w:val="22"/>
          <w:lang w:val="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mallCaps/>
          <w:sz w:val="22"/>
          <w:szCs w:val="22"/>
          <w:lang w:val="ru-RU"/>
        </w:rPr>
      </w:pPr>
      <w:bookmarkStart w:id="39" w:name="bookmark=id.3fwokq0"/>
      <w:bookmarkStart w:id="40" w:name="bookmark=id.vx1227"/>
      <w:bookmarkEnd w:id="39"/>
      <w:bookmarkEnd w:id="40"/>
      <w:r>
        <w:rPr>
          <w:b/>
          <w:smallCaps/>
          <w:sz w:val="22"/>
          <w:szCs w:val="22"/>
        </w:rPr>
        <w:t>XIII</w:t>
      </w:r>
      <w:r>
        <w:rPr>
          <w:b/>
          <w:smallCaps/>
          <w:sz w:val="22"/>
          <w:szCs w:val="22"/>
          <w:lang w:val="ru-RU"/>
        </w:rPr>
        <w:t>. МІСЦЕЗНАХОДЖЕННЯ ТА БАНКІВСЬКІ РЕКВІЗИТИ СТОРІН</w:t>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733"/>
        <w:gridCol w:w="4729"/>
      </w:tblGrid>
      <w:tr>
        <w:trPr/>
        <w:tc>
          <w:tcPr>
            <w:tcW w:w="4733" w:type="dxa"/>
            <w:tcBorders/>
          </w:tcPr>
          <w:p>
            <w:pPr>
              <w:pStyle w:val="Normal"/>
              <w:widowControl w:val="false"/>
              <w:rPr>
                <w:b/>
                <w:b/>
                <w:smallCaps/>
                <w:sz w:val="22"/>
                <w:szCs w:val="22"/>
              </w:rPr>
            </w:pPr>
            <w:r>
              <w:rPr>
                <w:b/>
                <w:smallCaps/>
                <w:sz w:val="22"/>
                <w:szCs w:val="22"/>
              </w:rPr>
              <w:t>ЗАМОВНИК:</w:t>
            </w:r>
          </w:p>
        </w:tc>
        <w:tc>
          <w:tcPr>
            <w:tcW w:w="4729" w:type="dxa"/>
            <w:tcBorders/>
          </w:tcPr>
          <w:p>
            <w:pPr>
              <w:pStyle w:val="Normal"/>
              <w:widowControl w:val="false"/>
              <w:rPr>
                <w:b/>
                <w:b/>
                <w:smallCaps/>
                <w:sz w:val="22"/>
                <w:szCs w:val="22"/>
              </w:rPr>
            </w:pPr>
            <w:r>
              <w:rPr>
                <w:b/>
                <w:smallCaps/>
                <w:sz w:val="22"/>
                <w:szCs w:val="22"/>
              </w:rPr>
              <w:t>ПОСТАЧАЛЬНИК:</w:t>
            </w:r>
          </w:p>
        </w:tc>
      </w:tr>
      <w:tr>
        <w:trPr/>
        <w:tc>
          <w:tcPr>
            <w:tcW w:w="4733" w:type="dxa"/>
            <w:tcBorders/>
          </w:tcPr>
          <w:p>
            <w:pPr>
              <w:pStyle w:val="Normal"/>
              <w:widowControl w:val="false"/>
              <w:rPr>
                <w:b/>
                <w:b/>
                <w:sz w:val="22"/>
                <w:szCs w:val="22"/>
              </w:rPr>
            </w:pPr>
            <w:r>
              <w:rPr>
                <w:b/>
                <w:sz w:val="22"/>
                <w:szCs w:val="22"/>
              </w:rPr>
              <w:t>Виконавчий комітет Білоцерківської сільської ради Миргородського району Полтавської області</w:t>
            </w:r>
          </w:p>
          <w:p>
            <w:pPr>
              <w:pStyle w:val="Normal"/>
              <w:widowControl w:val="false"/>
              <w:rPr>
                <w:sz w:val="22"/>
                <w:szCs w:val="22"/>
                <w:lang w:val="ru-RU"/>
              </w:rPr>
            </w:pPr>
            <w:r>
              <w:rPr>
                <w:sz w:val="22"/>
                <w:szCs w:val="22"/>
                <w:lang w:val="ru-RU"/>
              </w:rPr>
              <w:t>адреса: вул. Першотравнева, 9, с. Білоцерківка, Полтавська область, 38340</w:t>
            </w:r>
          </w:p>
          <w:p>
            <w:pPr>
              <w:pStyle w:val="Normal"/>
              <w:widowControl w:val="false"/>
              <w:rPr>
                <w:sz w:val="22"/>
                <w:szCs w:val="22"/>
                <w:lang w:val="ru-RU"/>
              </w:rPr>
            </w:pPr>
            <w:r>
              <w:rPr>
                <w:sz w:val="22"/>
                <w:szCs w:val="22"/>
                <w:lang w:val="ru-RU"/>
              </w:rPr>
              <w:t>код ЄДРПОУ - 40202143</w:t>
            </w:r>
          </w:p>
          <w:p>
            <w:pPr>
              <w:pStyle w:val="Normal"/>
              <w:widowControl w:val="false"/>
              <w:rPr>
                <w:sz w:val="22"/>
                <w:szCs w:val="22"/>
                <w:lang w:val="ru-RU"/>
              </w:rPr>
            </w:pPr>
            <w:r>
              <w:rPr>
                <w:sz w:val="22"/>
                <w:szCs w:val="22"/>
                <w:lang w:val="ru-RU"/>
              </w:rPr>
              <w:t>тел.: +380508207969</w:t>
            </w:r>
          </w:p>
          <w:p>
            <w:pPr>
              <w:pStyle w:val="Normal"/>
              <w:widowControl w:val="false"/>
              <w:rPr>
                <w:sz w:val="22"/>
                <w:szCs w:val="22"/>
                <w:lang w:val="ru-RU"/>
              </w:rPr>
            </w:pPr>
            <w:r>
              <w:rPr>
                <w:sz w:val="22"/>
                <w:szCs w:val="22"/>
              </w:rPr>
              <w:t>e</w:t>
            </w:r>
            <w:r>
              <w:rPr>
                <w:sz w:val="22"/>
                <w:szCs w:val="22"/>
                <w:lang w:val="ru-RU"/>
              </w:rPr>
              <w:t>-</w:t>
            </w:r>
            <w:r>
              <w:rPr>
                <w:sz w:val="22"/>
                <w:szCs w:val="22"/>
              </w:rPr>
              <w:t>mail</w:t>
            </w:r>
            <w:r>
              <w:rPr>
                <w:sz w:val="22"/>
                <w:szCs w:val="22"/>
                <w:lang w:val="ru-RU"/>
              </w:rPr>
              <w:t xml:space="preserve">: </w:t>
            </w:r>
            <w:r>
              <w:rPr>
                <w:sz w:val="22"/>
                <w:szCs w:val="22"/>
              </w:rPr>
              <w:t>bilotg</w:t>
            </w:r>
            <w:r>
              <w:rPr>
                <w:sz w:val="22"/>
                <w:szCs w:val="22"/>
                <w:lang w:val="ru-RU"/>
              </w:rPr>
              <w:t>16@</w:t>
            </w:r>
            <w:r>
              <w:rPr>
                <w:sz w:val="22"/>
                <w:szCs w:val="22"/>
              </w:rPr>
              <w:t>gmaiI</w:t>
            </w:r>
            <w:r>
              <w:rPr>
                <w:sz w:val="22"/>
                <w:szCs w:val="22"/>
                <w:lang w:val="ru-RU"/>
              </w:rPr>
              <w:t>.</w:t>
            </w:r>
            <w:r>
              <w:rPr>
                <w:sz w:val="22"/>
                <w:szCs w:val="22"/>
              </w:rPr>
              <w:t>com</w:t>
            </w:r>
          </w:p>
          <w:p>
            <w:pPr>
              <w:pStyle w:val="Normal"/>
              <w:widowControl w:val="false"/>
              <w:rPr>
                <w:sz w:val="22"/>
                <w:szCs w:val="22"/>
              </w:rPr>
            </w:pPr>
            <w:r>
              <w:rPr>
                <w:sz w:val="22"/>
                <w:szCs w:val="22"/>
              </w:rPr>
              <w:t xml:space="preserve">IBAN -   </w:t>
            </w:r>
          </w:p>
          <w:p>
            <w:pPr>
              <w:pStyle w:val="Normal"/>
              <w:widowControl w:val="false"/>
              <w:rPr>
                <w:sz w:val="22"/>
                <w:szCs w:val="22"/>
              </w:rPr>
            </w:pPr>
            <w:r>
              <w:rPr>
                <w:sz w:val="22"/>
                <w:szCs w:val="22"/>
              </w:rPr>
              <w:t xml:space="preserve"> </w:t>
            </w:r>
          </w:p>
          <w:p>
            <w:pPr>
              <w:pStyle w:val="Normal"/>
              <w:widowControl w:val="false"/>
              <w:rPr>
                <w:sz w:val="22"/>
                <w:szCs w:val="22"/>
              </w:rPr>
            </w:pPr>
            <w:r>
              <w:rPr>
                <w:sz w:val="22"/>
                <w:szCs w:val="22"/>
              </w:rPr>
              <w:t xml:space="preserve"> </w:t>
            </w:r>
          </w:p>
        </w:tc>
        <w:tc>
          <w:tcPr>
            <w:tcW w:w="4729" w:type="dxa"/>
            <w:tcBorders/>
          </w:tcPr>
          <w:p>
            <w:pPr>
              <w:pStyle w:val="Normal"/>
              <w:widowControl w:val="false"/>
              <w:rPr>
                <w:b/>
                <w:b/>
                <w:sz w:val="22"/>
                <w:szCs w:val="22"/>
              </w:rPr>
            </w:pPr>
            <w:r>
              <w:rPr>
                <w:b/>
                <w:sz w:val="22"/>
                <w:szCs w:val="22"/>
              </w:rPr>
            </w:r>
          </w:p>
        </w:tc>
      </w:tr>
      <w:tr>
        <w:trPr/>
        <w:tc>
          <w:tcPr>
            <w:tcW w:w="4733" w:type="dxa"/>
            <w:tcBorders/>
          </w:tcPr>
          <w:p>
            <w:pPr>
              <w:pStyle w:val="Normal"/>
              <w:widowControl w:val="false"/>
              <w:rPr>
                <w:b/>
                <w:b/>
                <w:sz w:val="22"/>
                <w:szCs w:val="22"/>
              </w:rPr>
            </w:pPr>
            <w:r>
              <w:rPr>
                <w:b/>
                <w:sz w:val="22"/>
                <w:szCs w:val="22"/>
              </w:rPr>
              <w:t>__________________ / ________________</w:t>
            </w:r>
          </w:p>
        </w:tc>
        <w:tc>
          <w:tcPr>
            <w:tcW w:w="4729" w:type="dxa"/>
            <w:tcBorders/>
          </w:tcPr>
          <w:p>
            <w:pPr>
              <w:pStyle w:val="Normal"/>
              <w:widowControl w:val="false"/>
              <w:rPr>
                <w:b/>
                <w:b/>
                <w:sz w:val="22"/>
                <w:szCs w:val="22"/>
              </w:rPr>
            </w:pPr>
            <w:r>
              <w:rPr>
                <w:b/>
                <w:sz w:val="22"/>
                <w:szCs w:val="22"/>
              </w:rPr>
              <w:t>__________________ / ________________</w:t>
            </w:r>
          </w:p>
        </w:tc>
      </w:tr>
      <w:tr>
        <w:trPr>
          <w:trHeight w:val="60" w:hRule="atLeast"/>
        </w:trPr>
        <w:tc>
          <w:tcPr>
            <w:tcW w:w="4733" w:type="dxa"/>
            <w:tcBorders/>
          </w:tcPr>
          <w:p>
            <w:pPr>
              <w:pStyle w:val="Normal"/>
              <w:widowControl w:val="false"/>
              <w:jc w:val="center"/>
              <w:rPr>
                <w:sz w:val="22"/>
                <w:szCs w:val="22"/>
                <w:vertAlign w:val="superscript"/>
              </w:rPr>
            </w:pPr>
            <w:r>
              <w:rPr>
                <w:sz w:val="22"/>
                <w:szCs w:val="22"/>
                <w:vertAlign w:val="superscript"/>
              </w:rPr>
              <w:t>МП                       ПІП</w:t>
            </w:r>
          </w:p>
        </w:tc>
        <w:tc>
          <w:tcPr>
            <w:tcW w:w="4729" w:type="dxa"/>
            <w:tcBorders/>
          </w:tcPr>
          <w:p>
            <w:pPr>
              <w:pStyle w:val="Normal"/>
              <w:widowControl w:val="false"/>
              <w:jc w:val="center"/>
              <w:rPr>
                <w:sz w:val="22"/>
                <w:szCs w:val="22"/>
                <w:vertAlign w:val="superscript"/>
              </w:rPr>
            </w:pPr>
            <w:r>
              <w:rPr>
                <w:sz w:val="22"/>
                <w:szCs w:val="22"/>
                <w:vertAlign w:val="superscript"/>
              </w:rPr>
              <w:t>МП                       ПІП</w:t>
            </w:r>
          </w:p>
        </w:tc>
      </w:tr>
    </w:tbl>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______________ </w:t>
      </w:r>
    </w:p>
    <w:p>
      <w:pPr>
        <w:sectPr>
          <w:type w:val="nextPage"/>
          <w:pgSz w:w="11906" w:h="16838"/>
          <w:pgMar w:left="900" w:right="746" w:header="0" w:top="719" w:footer="0" w:bottom="1134" w:gutter="0"/>
          <w:pgNumType w:fmt="decimal"/>
          <w:formProt w:val="false"/>
          <w:textDirection w:val="lrTb"/>
          <w:docGrid w:type="default" w:linePitch="100" w:charSpace="16384"/>
        </w:sectPr>
        <w:pStyle w:val="Normal"/>
        <w:rPr>
          <w:color w:val="000000"/>
          <w:sz w:val="24"/>
          <w:szCs w:val="24"/>
          <w:highlight w:val="white"/>
          <w:lang w:val="ru-RU"/>
        </w:rPr>
      </w:pPr>
      <w:r>
        <w:rPr>
          <w:lang w:val="ru-RU"/>
        </w:rPr>
        <w:t xml:space="preserve">* </w:t>
      </w:r>
      <w:r>
        <w:rPr>
          <w:i/>
          <w:lang w:val="ru-RU"/>
        </w:rPr>
        <w:t>вартість визначається з поміткою «з ПДВ» або «у т.ч. ПДВ» у тому випадку, якшо Постачальник є платником податку на додану вартість.</w:t>
      </w:r>
    </w:p>
    <w:p>
      <w:pPr>
        <w:pStyle w:val="Normal"/>
        <w:ind w:left="6120" w:hanging="0"/>
        <w:rPr>
          <w:b/>
          <w:b/>
          <w:lang w:val="ru-RU"/>
        </w:rPr>
      </w:pPr>
      <w:r>
        <w:rPr>
          <w:b/>
          <w:lang w:val="ru-RU"/>
        </w:rPr>
        <w:t xml:space="preserve">Додаток 1 </w:t>
      </w:r>
    </w:p>
    <w:p>
      <w:pPr>
        <w:pStyle w:val="Normal"/>
        <w:ind w:left="6120" w:hanging="0"/>
        <w:rPr>
          <w:color w:val="000000"/>
          <w:sz w:val="24"/>
          <w:szCs w:val="24"/>
          <w:highlight w:val="white"/>
          <w:lang w:val="ru-RU"/>
        </w:rPr>
      </w:pPr>
      <w:r>
        <w:rPr>
          <w:lang w:val="ru-RU"/>
        </w:rPr>
        <w:t>до Договору про закупівлю № _____</w:t>
      </w:r>
    </w:p>
    <w:p>
      <w:pPr>
        <w:pStyle w:val="Normal"/>
        <w:ind w:left="6120" w:hanging="0"/>
        <w:rPr>
          <w:color w:val="000000"/>
          <w:sz w:val="24"/>
          <w:szCs w:val="24"/>
          <w:highlight w:val="white"/>
        </w:rPr>
      </w:pPr>
      <w:r>
        <w:rPr/>
        <w:t>від "____" ___________ 20__р.</w:t>
      </w:r>
    </w:p>
    <w:p>
      <w:pPr>
        <w:pStyle w:val="Normal"/>
        <w:rPr>
          <w:b/>
          <w:b/>
        </w:rPr>
      </w:pPr>
      <w:r>
        <w:rPr>
          <w:b/>
        </w:rPr>
      </w:r>
    </w:p>
    <w:p>
      <w:pPr>
        <w:pStyle w:val="Normal"/>
        <w:jc w:val="center"/>
        <w:rPr>
          <w:b/>
          <w:b/>
          <w:sz w:val="32"/>
          <w:szCs w:val="32"/>
        </w:rPr>
      </w:pPr>
      <w:r>
        <w:rPr>
          <w:b/>
          <w:sz w:val="32"/>
          <w:szCs w:val="32"/>
        </w:rPr>
        <w:t>СПЕЦИФІКАЦІЯ</w:t>
      </w:r>
    </w:p>
    <w:p>
      <w:pPr>
        <w:pStyle w:val="Normal"/>
        <w:jc w:val="right"/>
        <w:rPr>
          <w:i/>
          <w:i/>
        </w:rPr>
      </w:pPr>
      <w:r>
        <w:rPr>
          <w:i/>
        </w:rPr>
        <w:t>Таблиця 1</w:t>
      </w:r>
    </w:p>
    <w:tbl>
      <w:tblPr>
        <w:tblW w:w="10438"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710"/>
        <w:gridCol w:w="4330"/>
        <w:gridCol w:w="1621"/>
        <w:gridCol w:w="1221"/>
        <w:gridCol w:w="735"/>
        <w:gridCol w:w="1820"/>
      </w:tblGrid>
      <w:tr>
        <w:trPr>
          <w:trHeight w:val="653" w:hRule="atLeast"/>
        </w:trPr>
        <w:tc>
          <w:tcPr>
            <w:tcW w:w="71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vertAlign w:val="superscript"/>
              </w:rPr>
            </w:pPr>
            <w:r>
              <w:rPr>
                <w:b/>
                <w:vertAlign w:val="superscript"/>
              </w:rPr>
              <w:t>п/п</w:t>
            </w:r>
          </w:p>
        </w:tc>
        <w:tc>
          <w:tcPr>
            <w:tcW w:w="433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rPr>
            </w:pPr>
            <w:r>
              <w:rPr>
                <w:b/>
              </w:rPr>
              <w:t>НАЙМЕНУВАННЯ</w:t>
            </w:r>
          </w:p>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5"/>
                <w:szCs w:val="25"/>
              </w:rPr>
            </w:pPr>
            <w:r>
              <w:rPr>
                <w:b/>
                <w:sz w:val="25"/>
                <w:szCs w:val="25"/>
              </w:rPr>
              <w:t>товару</w:t>
            </w:r>
          </w:p>
        </w:tc>
        <w:tc>
          <w:tcPr>
            <w:tcW w:w="1621"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 xml:space="preserve">країна </w:t>
            </w:r>
            <w:r>
              <w:rPr>
                <w:b/>
                <w:sz w:val="22"/>
                <w:szCs w:val="22"/>
              </w:rPr>
              <w:t>походження</w:t>
            </w:r>
          </w:p>
        </w:tc>
        <w:tc>
          <w:tcPr>
            <w:tcW w:w="1221"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sz w:val="22"/>
                <w:szCs w:val="22"/>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9" w:right="-136" w:hanging="0"/>
              <w:jc w:val="center"/>
              <w:rPr>
                <w:b/>
                <w:b/>
              </w:rPr>
            </w:pPr>
            <w:r>
              <w:rPr>
                <w:b/>
                <w:sz w:val="22"/>
                <w:szCs w:val="22"/>
              </w:rPr>
              <w:t>к-сть</w:t>
            </w:r>
          </w:p>
        </w:tc>
        <w:tc>
          <w:tcPr>
            <w:tcW w:w="1820" w:type="dxa"/>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jc w:val="center"/>
              <w:rPr>
                <w:b/>
                <w:b/>
              </w:rPr>
            </w:pPr>
            <w:r>
              <w:rPr>
                <w:b/>
              </w:rPr>
              <w:t xml:space="preserve">ЦІНА </w:t>
            </w:r>
          </w:p>
          <w:p>
            <w:pPr>
              <w:pStyle w:val="Normal"/>
              <w:widowControl w:val="false"/>
              <w:jc w:val="center"/>
              <w:rPr>
                <w:b/>
                <w:b/>
                <w:sz w:val="19"/>
                <w:szCs w:val="19"/>
              </w:rPr>
            </w:pPr>
            <w:r>
              <w:rPr>
                <w:b/>
                <w:sz w:val="19"/>
                <w:szCs w:val="19"/>
              </w:rPr>
              <w:t xml:space="preserve">за одиницю, </w:t>
            </w:r>
          </w:p>
          <w:p>
            <w:pPr>
              <w:pStyle w:val="Normal"/>
              <w:widowControl w:val="false"/>
              <w:jc w:val="center"/>
              <w:rPr>
                <w:b/>
                <w:b/>
              </w:rPr>
            </w:pPr>
            <w:r>
              <w:rPr>
                <w:b/>
              </w:rPr>
              <w:t>грн.</w:t>
            </w:r>
          </w:p>
        </w:tc>
      </w:tr>
      <w:tr>
        <w:trPr/>
        <w:tc>
          <w:tcPr>
            <w:tcW w:w="10437" w:type="dxa"/>
            <w:gridSpan w:val="6"/>
            <w:tcBorders>
              <w:top w:val="single" w:sz="4" w:space="0" w:color="000000"/>
              <w:left w:val="single" w:sz="4" w:space="0" w:color="000000"/>
              <w:bottom w:val="single" w:sz="4" w:space="0" w:color="000000"/>
              <w:right w:val="single" w:sz="4" w:space="0" w:color="000000"/>
            </w:tcBorders>
            <w:shd w:color="auto" w:fill="F8F8F8" w:val="clear"/>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sz w:val="18"/>
                <w:szCs w:val="18"/>
                <w:lang w:val="ru-RU"/>
              </w:rPr>
            </w:pPr>
            <w:r>
              <w:rPr>
                <w:sz w:val="18"/>
                <w:szCs w:val="18"/>
                <w:lang w:val="ru-RU"/>
              </w:rPr>
              <w:t>ДК 021:2015 (</w:t>
            </w:r>
            <w:r>
              <w:rPr>
                <w:sz w:val="18"/>
                <w:szCs w:val="18"/>
              </w:rPr>
              <w:t>CPV</w:t>
            </w:r>
            <w:r>
              <w:rPr>
                <w:sz w:val="18"/>
                <w:szCs w:val="18"/>
                <w:lang w:val="ru-RU"/>
              </w:rPr>
              <w:t xml:space="preserve"> 2008) – 09130000-9 - Нафта і дистиляти (бензин марки  А-95, дизельне паливо)</w:t>
            </w:r>
          </w:p>
        </w:tc>
      </w:tr>
      <w:tr>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t>1.</w:t>
            </w:r>
          </w:p>
        </w:tc>
        <w:tc>
          <w:tcPr>
            <w:tcW w:w="4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бензин марки А-95</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tc>
        <w:tc>
          <w:tcPr>
            <w:tcW w:w="1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highlight w:val="white"/>
              </w:rPr>
            </w:pPr>
            <w:r>
              <w:rPr/>
              <w:t>літр</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 xml:space="preserve">200 </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color w:val="000000"/>
                <w:sz w:val="24"/>
                <w:szCs w:val="24"/>
                <w:highlight w:val="white"/>
              </w:rPr>
            </w:r>
          </w:p>
        </w:tc>
      </w:tr>
      <w:tr>
        <w:trPr/>
        <w:tc>
          <w:tcPr>
            <w:tcW w:w="71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t>2.</w:t>
            </w:r>
          </w:p>
        </w:tc>
        <w:tc>
          <w:tcPr>
            <w:tcW w:w="4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rPr>
            </w:pPr>
            <w:r>
              <w:rPr>
                <w:b/>
              </w:rPr>
              <w:t>дизельне паливо</w:t>
            </w:r>
          </w:p>
        </w:tc>
        <w:tc>
          <w:tcPr>
            <w:tcW w:w="16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r>
          </w:p>
        </w:tc>
        <w:tc>
          <w:tcPr>
            <w:tcW w:w="122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sz w:val="24"/>
                <w:szCs w:val="24"/>
                <w:highlight w:val="white"/>
              </w:rPr>
            </w:pPr>
            <w:r>
              <w:rPr/>
              <w:t>літр</w:t>
            </w:r>
          </w:p>
        </w:tc>
        <w:tc>
          <w:tcPr>
            <w:tcW w:w="7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800</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color w:val="000000"/>
                <w:sz w:val="24"/>
                <w:szCs w:val="24"/>
                <w:highlight w:val="white"/>
              </w:rPr>
            </w:r>
          </w:p>
        </w:tc>
      </w:tr>
      <w:tr>
        <w:trPr/>
        <w:tc>
          <w:tcPr>
            <w:tcW w:w="861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rPr>
            </w:pPr>
            <w:r>
              <w:rPr/>
              <w:t>в т.ч. ПДВ, грн.</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4"/>
                <w:szCs w:val="24"/>
                <w:highlight w:val="white"/>
              </w:rPr>
            </w:pPr>
            <w:r>
              <w:rPr>
                <w:color w:val="000000"/>
                <w:sz w:val="24"/>
                <w:szCs w:val="24"/>
                <w:highlight w:val="white"/>
              </w:rPr>
            </w:r>
          </w:p>
        </w:tc>
      </w:tr>
      <w:tr>
        <w:trPr/>
        <w:tc>
          <w:tcPr>
            <w:tcW w:w="8617"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rPr>
            </w:pPr>
            <w:r>
              <w:rPr/>
              <w:t>ВСЬОГО, з ПДВ*:</w:t>
            </w:r>
          </w:p>
        </w:tc>
        <w:tc>
          <w:tcPr>
            <w:tcW w:w="182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b/>
                <w:b/>
                <w:sz w:val="28"/>
                <w:szCs w:val="28"/>
              </w:rPr>
            </w:pPr>
            <w:r>
              <w:rPr>
                <w:b/>
                <w:sz w:val="28"/>
                <w:szCs w:val="28"/>
              </w:rPr>
            </w:r>
          </w:p>
        </w:tc>
      </w:tr>
    </w:tbl>
    <w:p>
      <w:pPr>
        <w:pStyle w:val="Normal"/>
        <w:jc w:val="both"/>
        <w:rPr>
          <w:color w:val="000000"/>
          <w:sz w:val="24"/>
          <w:szCs w:val="24"/>
          <w:highlight w:val="white"/>
        </w:rPr>
      </w:pPr>
      <w:r>
        <w:rPr>
          <w:color w:val="000000"/>
          <w:sz w:val="24"/>
          <w:szCs w:val="24"/>
          <w:highlight w:val="white"/>
        </w:rPr>
      </w:r>
    </w:p>
    <w:p>
      <w:pPr>
        <w:pStyle w:val="Normal"/>
        <w:jc w:val="right"/>
        <w:rPr>
          <w:i/>
          <w:i/>
        </w:rPr>
      </w:pPr>
      <w:r>
        <w:rPr>
          <w:i/>
        </w:rPr>
        <w:t>Таблиця 2</w:t>
      </w:r>
    </w:p>
    <w:tbl>
      <w:tblPr>
        <w:tblW w:w="10440"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5399"/>
        <w:gridCol w:w="5040"/>
      </w:tblGrid>
      <w:tr>
        <w:trPr>
          <w:trHeight w:val="647"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center"/>
              <w:rPr>
                <w:b/>
                <w:b/>
                <w:smallCaps/>
              </w:rPr>
            </w:pPr>
            <w:r>
              <w:rPr>
                <w:b/>
                <w:smallCaps/>
                <w:sz w:val="22"/>
                <w:szCs w:val="22"/>
              </w:rPr>
              <w:t>НАЙМЕНУВАННЯ ПОКАЗНИКА</w:t>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ind w:left="-36" w:right="-108" w:hanging="47"/>
              <w:jc w:val="center"/>
              <w:rPr>
                <w:b/>
                <w:b/>
                <w:smallCaps/>
              </w:rPr>
            </w:pPr>
            <w:r>
              <w:rPr>
                <w:b/>
                <w:smallCaps/>
                <w:sz w:val="22"/>
                <w:szCs w:val="22"/>
              </w:rPr>
              <w:t>ХАРАКТЕРИСТИКИ ТОВАРУ</w:t>
            </w:r>
          </w:p>
        </w:tc>
      </w:tr>
      <w:tr>
        <w:trPr>
          <w:trHeight w:val="150" w:hRule="atLeast"/>
        </w:trPr>
        <w:tc>
          <w:tcPr>
            <w:tcW w:w="539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highlight w:val="white"/>
              </w:rPr>
            </w:pPr>
            <w:r>
              <w:rPr>
                <w:color w:val="000000"/>
                <w:sz w:val="24"/>
                <w:szCs w:val="24"/>
                <w:highlight w:val="white"/>
              </w:rPr>
            </w:r>
          </w:p>
        </w:tc>
        <w:tc>
          <w:tcPr>
            <w:tcW w:w="5040" w:type="dxa"/>
            <w:tcBorders>
              <w:top w:val="single" w:sz="4" w:space="0" w:color="000000"/>
              <w:left w:val="single" w:sz="4" w:space="0" w:color="000000"/>
              <w:bottom w:val="single" w:sz="4" w:space="0" w:color="000000"/>
              <w:right w:val="single" w:sz="4" w:space="0" w:color="000000"/>
            </w:tcBorders>
          </w:tcPr>
          <w:p>
            <w:pPr>
              <w:pStyle w:val="Normal"/>
              <w:widowControl w:val="false"/>
              <w:rPr>
                <w:color w:val="000000"/>
                <w:sz w:val="24"/>
                <w:szCs w:val="24"/>
                <w:highlight w:val="white"/>
              </w:rPr>
            </w:pPr>
            <w:r>
              <w:rPr>
                <w:color w:val="000000"/>
                <w:sz w:val="24"/>
                <w:szCs w:val="24"/>
                <w:highlight w:val="white"/>
              </w:rPr>
            </w:r>
          </w:p>
        </w:tc>
      </w:tr>
    </w:tbl>
    <w:p>
      <w:pPr>
        <w:pStyle w:val="Normal"/>
        <w:jc w:val="both"/>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color w:val="000000"/>
          <w:sz w:val="24"/>
          <w:szCs w:val="24"/>
          <w:highlight w:val="white"/>
        </w:rPr>
      </w:r>
    </w:p>
    <w:tbl>
      <w:tblPr>
        <w:tblW w:w="9463" w:type="dxa"/>
        <w:jc w:val="left"/>
        <w:tblInd w:w="2" w:type="dxa"/>
        <w:tblLayout w:type="fixed"/>
        <w:tblCellMar>
          <w:top w:w="0" w:type="dxa"/>
          <w:left w:w="108" w:type="dxa"/>
          <w:bottom w:w="0" w:type="dxa"/>
          <w:right w:w="108" w:type="dxa"/>
        </w:tblCellMar>
        <w:tblLook w:firstRow="0" w:noVBand="0" w:lastRow="0" w:firstColumn="0" w:lastColumn="0" w:noHBand="0" w:val="0000"/>
      </w:tblPr>
      <w:tblGrid>
        <w:gridCol w:w="4825"/>
        <w:gridCol w:w="4637"/>
      </w:tblGrid>
      <w:tr>
        <w:trPr/>
        <w:tc>
          <w:tcPr>
            <w:tcW w:w="4825" w:type="dxa"/>
            <w:tcBorders/>
          </w:tcPr>
          <w:p>
            <w:pPr>
              <w:pStyle w:val="Normal"/>
              <w:widowControl w:val="false"/>
              <w:rPr>
                <w:b/>
                <w:b/>
                <w:smallCaps/>
                <w:sz w:val="22"/>
                <w:szCs w:val="22"/>
              </w:rPr>
            </w:pPr>
            <w:r>
              <w:rPr>
                <w:b/>
                <w:smallCaps/>
                <w:sz w:val="22"/>
                <w:szCs w:val="22"/>
              </w:rPr>
              <w:t>ЗАМОВНИК:</w:t>
            </w:r>
          </w:p>
        </w:tc>
        <w:tc>
          <w:tcPr>
            <w:tcW w:w="4637" w:type="dxa"/>
            <w:tcBorders/>
          </w:tcPr>
          <w:p>
            <w:pPr>
              <w:pStyle w:val="Normal"/>
              <w:widowControl w:val="false"/>
              <w:rPr>
                <w:b/>
                <w:b/>
                <w:smallCaps/>
                <w:sz w:val="22"/>
                <w:szCs w:val="22"/>
              </w:rPr>
            </w:pPr>
            <w:r>
              <w:rPr>
                <w:b/>
                <w:smallCaps/>
                <w:sz w:val="22"/>
                <w:szCs w:val="22"/>
              </w:rPr>
              <w:t>ПОСТАЧАЛЬНИК:</w:t>
            </w:r>
          </w:p>
        </w:tc>
      </w:tr>
      <w:tr>
        <w:trPr/>
        <w:tc>
          <w:tcPr>
            <w:tcW w:w="4825" w:type="dxa"/>
            <w:tcBorders/>
          </w:tcPr>
          <w:p>
            <w:pPr>
              <w:pStyle w:val="Normal"/>
              <w:widowControl w:val="false"/>
              <w:rPr>
                <w:b/>
                <w:b/>
                <w:sz w:val="22"/>
                <w:szCs w:val="22"/>
              </w:rPr>
            </w:pPr>
            <w:r>
              <w:rPr>
                <w:b/>
                <w:sz w:val="22"/>
                <w:szCs w:val="22"/>
              </w:rPr>
              <w:t>Виконавчий комітет Білоцерківської сільської ради Миргородського району Полтавської області</w:t>
            </w:r>
          </w:p>
          <w:p>
            <w:pPr>
              <w:pStyle w:val="Normal"/>
              <w:widowControl w:val="false"/>
              <w:rPr>
                <w:sz w:val="22"/>
                <w:szCs w:val="22"/>
                <w:lang w:val="ru-RU"/>
              </w:rPr>
            </w:pPr>
            <w:r>
              <w:rPr>
                <w:sz w:val="22"/>
                <w:szCs w:val="22"/>
                <w:lang w:val="ru-RU"/>
              </w:rPr>
              <w:t>адреса: вул. Першотравнева, 9, с. Білоцерківка, Полтавська область, 38340</w:t>
            </w:r>
          </w:p>
          <w:p>
            <w:pPr>
              <w:pStyle w:val="Normal"/>
              <w:widowControl w:val="false"/>
              <w:rPr>
                <w:sz w:val="22"/>
                <w:szCs w:val="22"/>
              </w:rPr>
            </w:pPr>
            <w:r>
              <w:rPr>
                <w:sz w:val="22"/>
                <w:szCs w:val="22"/>
              </w:rPr>
              <w:t>код ЄДРПОУ - 40202143</w:t>
            </w:r>
          </w:p>
          <w:p>
            <w:pPr>
              <w:pStyle w:val="Normal"/>
              <w:widowControl w:val="false"/>
              <w:rPr>
                <w:sz w:val="22"/>
                <w:szCs w:val="22"/>
              </w:rPr>
            </w:pPr>
            <w:r>
              <w:rPr>
                <w:sz w:val="22"/>
                <w:szCs w:val="22"/>
              </w:rPr>
              <w:t>тел.: +380508207969</w:t>
            </w:r>
          </w:p>
          <w:p>
            <w:pPr>
              <w:pStyle w:val="Normal"/>
              <w:widowControl w:val="false"/>
              <w:rPr>
                <w:color w:val="000000"/>
                <w:sz w:val="24"/>
                <w:szCs w:val="24"/>
                <w:highlight w:val="white"/>
              </w:rPr>
            </w:pPr>
            <w:r>
              <w:rPr>
                <w:color w:val="000000"/>
                <w:sz w:val="24"/>
                <w:szCs w:val="24"/>
                <w:highlight w:val="white"/>
              </w:rPr>
            </w:r>
          </w:p>
        </w:tc>
        <w:tc>
          <w:tcPr>
            <w:tcW w:w="4637" w:type="dxa"/>
            <w:tcBorders/>
          </w:tcPr>
          <w:p>
            <w:pPr>
              <w:pStyle w:val="Normal"/>
              <w:widowControl w:val="false"/>
              <w:rPr>
                <w:b/>
                <w:b/>
              </w:rPr>
            </w:pPr>
            <w:r>
              <w:rPr>
                <w:b/>
              </w:rPr>
            </w:r>
          </w:p>
        </w:tc>
      </w:tr>
      <w:tr>
        <w:trPr/>
        <w:tc>
          <w:tcPr>
            <w:tcW w:w="4825" w:type="dxa"/>
            <w:tcBorders/>
          </w:tcPr>
          <w:p>
            <w:pPr>
              <w:pStyle w:val="Normal"/>
              <w:widowControl w:val="false"/>
              <w:rPr>
                <w:b/>
                <w:b/>
              </w:rPr>
            </w:pPr>
            <w:r>
              <w:rPr>
                <w:b/>
              </w:rPr>
              <w:t>__________________ / ________________</w:t>
            </w:r>
          </w:p>
        </w:tc>
        <w:tc>
          <w:tcPr>
            <w:tcW w:w="4637" w:type="dxa"/>
            <w:tcBorders/>
          </w:tcPr>
          <w:p>
            <w:pPr>
              <w:pStyle w:val="Normal"/>
              <w:widowControl w:val="false"/>
              <w:rPr>
                <w:b/>
                <w:b/>
              </w:rPr>
            </w:pPr>
            <w:r>
              <w:rPr>
                <w:b/>
              </w:rPr>
              <w:t>__________________ / ________________</w:t>
            </w:r>
          </w:p>
        </w:tc>
      </w:tr>
      <w:tr>
        <w:trPr>
          <w:trHeight w:val="60" w:hRule="atLeast"/>
        </w:trPr>
        <w:tc>
          <w:tcPr>
            <w:tcW w:w="4825" w:type="dxa"/>
            <w:tcBorders/>
          </w:tcPr>
          <w:p>
            <w:pPr>
              <w:pStyle w:val="Normal"/>
              <w:widowControl w:val="false"/>
              <w:jc w:val="center"/>
              <w:rPr>
                <w:vertAlign w:val="superscript"/>
              </w:rPr>
            </w:pPr>
            <w:r>
              <w:rPr>
                <w:vertAlign w:val="superscript"/>
              </w:rPr>
              <w:t>МП                       ПІП</w:t>
            </w:r>
          </w:p>
        </w:tc>
        <w:tc>
          <w:tcPr>
            <w:tcW w:w="4637" w:type="dxa"/>
            <w:tcBorders/>
          </w:tcPr>
          <w:p>
            <w:pPr>
              <w:pStyle w:val="Normal"/>
              <w:widowControl w:val="false"/>
              <w:jc w:val="center"/>
              <w:rPr>
                <w:vertAlign w:val="superscript"/>
              </w:rPr>
            </w:pPr>
            <w:r>
              <w:rPr>
                <w:vertAlign w:val="superscript"/>
              </w:rPr>
              <w:t>МП                       ПІП</w:t>
            </w:r>
          </w:p>
        </w:tc>
      </w:tr>
    </w:tbl>
    <w:p>
      <w:pPr>
        <w:pStyle w:val="Normal"/>
        <w:jc w:val="both"/>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rPr>
          <w:color w:val="000000"/>
          <w:sz w:val="24"/>
          <w:szCs w:val="24"/>
          <w:highlight w:val="white"/>
        </w:rPr>
      </w:pPr>
      <w:r>
        <w:rPr>
          <w:color w:val="000000"/>
          <w:sz w:val="24"/>
          <w:szCs w:val="24"/>
          <w:highlight w:val="white"/>
        </w:rPr>
      </w:r>
    </w:p>
    <w:p>
      <w:pPr>
        <w:pStyle w:val="Normal"/>
        <w:jc w:val="both"/>
        <w:rPr>
          <w:color w:val="000000"/>
          <w:sz w:val="24"/>
          <w:szCs w:val="24"/>
          <w:highlight w:val="white"/>
        </w:rPr>
      </w:pPr>
      <w:r>
        <w:rPr/>
        <w:t xml:space="preserve">______________ </w:t>
      </w:r>
    </w:p>
    <w:p>
      <w:pPr>
        <w:pStyle w:val="Normal"/>
        <w:rPr>
          <w:color w:val="000000"/>
          <w:sz w:val="24"/>
          <w:szCs w:val="24"/>
          <w:highlight w:val="white"/>
          <w:lang w:val="ru-RU"/>
        </w:rPr>
      </w:pPr>
      <w:r>
        <w:rPr>
          <w:lang w:val="ru-RU"/>
        </w:rPr>
        <w:t xml:space="preserve">* </w:t>
      </w:r>
      <w:r>
        <w:rPr>
          <w:i/>
          <w:lang w:val="ru-RU"/>
        </w:rPr>
        <w:t>вартість визначається з поміткою «з ПДВ» або «у т.ч. ПДВ» у тому випадку, якшо Постачальник є платником податку на додану вартість.</w:t>
      </w:r>
    </w:p>
    <w:sectPr>
      <w:type w:val="nextPage"/>
      <w:pgSz w:w="11906" w:h="16838"/>
      <w:pgMar w:left="900" w:right="720" w:header="0" w:top="902" w:footer="0" w:bottom="902"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Georgia">
    <w:charset w:val="cc"/>
    <w:family w:val="roman"/>
    <w:pitch w:val="variable"/>
  </w:font>
  <w:font w:name="Calibri">
    <w:charset w:val="cc"/>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720" w:hanging="360"/>
      </w:pPr>
      <w:rPr>
        <w:b w:val="false"/>
      </w:rPr>
    </w:lvl>
    <w:lvl w:ilvl="1">
      <w:start w:val="1"/>
      <w:pStyle w:val="2"/>
      <w:numFmt w:val="lowerLetter"/>
      <w:lvlText w:val="%2."/>
      <w:lvlJc w:val="left"/>
      <w:pPr>
        <w:tabs>
          <w:tab w:val="num" w:pos="0"/>
        </w:tabs>
        <w:ind w:left="1440" w:hanging="360"/>
      </w:pPr>
    </w:lvl>
    <w:lvl w:ilvl="2">
      <w:start w:val="1"/>
      <w:pStyle w:val="3"/>
      <w:numFmt w:val="lowerRoman"/>
      <w:lvlText w:val="%3."/>
      <w:lvlJc w:val="right"/>
      <w:pPr>
        <w:tabs>
          <w:tab w:val="num" w:pos="0"/>
        </w:tabs>
        <w:ind w:left="2160" w:hanging="18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decimal"/>
      <w:lvlText w:val="2.%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lvl w:ilvl="0">
      <w:start w:val="1"/>
      <w:numFmt w:val="decimal"/>
      <w:lvlText w:val="%1."/>
      <w:lvlJc w:val="left"/>
      <w:pPr>
        <w:tabs>
          <w:tab w:val="num" w:pos="0"/>
        </w:tabs>
        <w:ind w:left="360" w:hanging="360"/>
      </w:pPr>
      <w:rPr>
        <w:sz w:val="24"/>
        <w:b w:val="false"/>
        <w:szCs w:val="24"/>
        <w:color w:val="000000"/>
      </w:rPr>
    </w:lvl>
    <w:lvl w:ilvl="1">
      <w:start w:val="1"/>
      <w:numFmt w:val="decimal"/>
      <w:lvlText w:val="%1.%2."/>
      <w:lvlJc w:val="left"/>
      <w:pPr>
        <w:tabs>
          <w:tab w:val="num" w:pos="0"/>
        </w:tabs>
        <w:ind w:left="435" w:hanging="435"/>
      </w:pPr>
      <w:rPr>
        <w:sz w:val="24"/>
        <w:szCs w:val="24"/>
      </w:rPr>
    </w:lvl>
    <w:lvl w:ilvl="2">
      <w:start w:val="1"/>
      <w:numFmt w:val="decimal"/>
      <w:lvlText w:val="%1.%2.%3."/>
      <w:lvlJc w:val="left"/>
      <w:pPr>
        <w:tabs>
          <w:tab w:val="num" w:pos="0"/>
        </w:tabs>
        <w:ind w:left="1080" w:hanging="720"/>
      </w:pPr>
      <w:rPr>
        <w:sz w:val="24"/>
        <w:szCs w:val="24"/>
      </w:rPr>
    </w:lvl>
    <w:lvl w:ilvl="3">
      <w:start w:val="1"/>
      <w:numFmt w:val="decimal"/>
      <w:lvlText w:val="%1.%2.%3.%4."/>
      <w:lvlJc w:val="left"/>
      <w:pPr>
        <w:tabs>
          <w:tab w:val="num" w:pos="0"/>
        </w:tabs>
        <w:ind w:left="1080" w:hanging="720"/>
      </w:pPr>
      <w:rPr>
        <w:sz w:val="24"/>
        <w:szCs w:val="24"/>
      </w:rPr>
    </w:lvl>
    <w:lvl w:ilvl="4">
      <w:start w:val="1"/>
      <w:numFmt w:val="decimal"/>
      <w:lvlText w:val="%1.%2.%3.%4.%5."/>
      <w:lvlJc w:val="left"/>
      <w:pPr>
        <w:tabs>
          <w:tab w:val="num" w:pos="0"/>
        </w:tabs>
        <w:ind w:left="1440" w:hanging="1080"/>
      </w:pPr>
      <w:rPr>
        <w:sz w:val="24"/>
        <w:szCs w:val="24"/>
      </w:rPr>
    </w:lvl>
    <w:lvl w:ilvl="5">
      <w:start w:val="1"/>
      <w:numFmt w:val="decimal"/>
      <w:lvlText w:val="%1.%2.%3.%4.%5.%6."/>
      <w:lvlJc w:val="left"/>
      <w:pPr>
        <w:tabs>
          <w:tab w:val="num" w:pos="0"/>
        </w:tabs>
        <w:ind w:left="1440" w:hanging="1080"/>
      </w:pPr>
      <w:rPr>
        <w:sz w:val="24"/>
        <w:szCs w:val="24"/>
      </w:rPr>
    </w:lvl>
    <w:lvl w:ilvl="6">
      <w:start w:val="1"/>
      <w:numFmt w:val="decimal"/>
      <w:lvlText w:val="%1.%2.%3.%4.%5.%6.%7."/>
      <w:lvlJc w:val="left"/>
      <w:pPr>
        <w:tabs>
          <w:tab w:val="num" w:pos="0"/>
        </w:tabs>
        <w:ind w:left="1800" w:hanging="1440"/>
      </w:pPr>
      <w:rPr>
        <w:sz w:val="24"/>
        <w:szCs w:val="24"/>
      </w:rPr>
    </w:lvl>
    <w:lvl w:ilvl="7">
      <w:start w:val="1"/>
      <w:numFmt w:val="decimal"/>
      <w:lvlText w:val="%1.%2.%3.%4.%5.%6.%7.%8."/>
      <w:lvlJc w:val="left"/>
      <w:pPr>
        <w:tabs>
          <w:tab w:val="num" w:pos="0"/>
        </w:tabs>
        <w:ind w:left="1800" w:hanging="1440"/>
      </w:pPr>
      <w:rPr>
        <w:sz w:val="24"/>
        <w:szCs w:val="24"/>
      </w:rPr>
    </w:lvl>
    <w:lvl w:ilvl="8">
      <w:start w:val="1"/>
      <w:numFmt w:val="decimal"/>
      <w:lvlText w:val="%1.%2.%3.%4.%5.%6.%7.%8.%9."/>
      <w:lvlJc w:val="left"/>
      <w:pPr>
        <w:tabs>
          <w:tab w:val="num" w:pos="0"/>
        </w:tabs>
        <w:ind w:left="2160" w:hanging="1800"/>
      </w:pPr>
      <w:rPr>
        <w:sz w:val="24"/>
        <w:szCs w:val="24"/>
      </w:rPr>
    </w:lvl>
  </w:abstractNum>
  <w:abstractNum w:abstractNumId="5">
    <w:lvl w:ilvl="0">
      <w:start w:val="3"/>
      <w:numFmt w:val="decimal"/>
      <w:lvlText w:val="%1."/>
      <w:lvlJc w:val="left"/>
      <w:pPr>
        <w:tabs>
          <w:tab w:val="num" w:pos="0"/>
        </w:tabs>
        <w:ind w:left="720" w:hanging="360"/>
      </w:pPr>
      <w:rPr>
        <w:b w:val="false"/>
      </w:rPr>
    </w:lvl>
    <w:lvl w:ilvl="1">
      <w:start w:val="1"/>
      <w:numFmt w:val="decimal"/>
      <w:lvlText w:val="%1.%2."/>
      <w:lvlJc w:val="left"/>
      <w:pPr>
        <w:tabs>
          <w:tab w:val="num" w:pos="0"/>
        </w:tabs>
        <w:ind w:left="780" w:hanging="420"/>
      </w:pPr>
      <w:rPr>
        <w:b w:val="false"/>
        <w:color w:val="000000"/>
      </w:rPr>
    </w:lvl>
    <w:lvl w:ilvl="2">
      <w:start w:val="1"/>
      <w:numFmt w:val="decimal"/>
      <w:lvlText w:val="%1.%2.%3."/>
      <w:lvlJc w:val="left"/>
      <w:pPr>
        <w:tabs>
          <w:tab w:val="num" w:pos="0"/>
        </w:tabs>
        <w:ind w:left="1080" w:hanging="720"/>
      </w:pPr>
      <w:rPr>
        <w:b/>
        <w:color w:val="000000"/>
      </w:rPr>
    </w:lvl>
    <w:lvl w:ilvl="3">
      <w:start w:val="1"/>
      <w:numFmt w:val="decimal"/>
      <w:lvlText w:val="%1.%2.%3.%4."/>
      <w:lvlJc w:val="left"/>
      <w:pPr>
        <w:tabs>
          <w:tab w:val="num" w:pos="0"/>
        </w:tabs>
        <w:ind w:left="1080" w:hanging="720"/>
      </w:pPr>
      <w:rPr>
        <w:b/>
        <w:color w:val="000000"/>
      </w:rPr>
    </w:lvl>
    <w:lvl w:ilvl="4">
      <w:start w:val="1"/>
      <w:numFmt w:val="decimal"/>
      <w:lvlText w:val="%1.%2.%3.%4.%5."/>
      <w:lvlJc w:val="left"/>
      <w:pPr>
        <w:tabs>
          <w:tab w:val="num" w:pos="0"/>
        </w:tabs>
        <w:ind w:left="1440" w:hanging="1080"/>
      </w:pPr>
      <w:rPr>
        <w:b/>
        <w:color w:val="000000"/>
      </w:rPr>
    </w:lvl>
    <w:lvl w:ilvl="5">
      <w:start w:val="1"/>
      <w:numFmt w:val="decimal"/>
      <w:lvlText w:val="%1.%2.%3.%4.%5.%6."/>
      <w:lvlJc w:val="left"/>
      <w:pPr>
        <w:tabs>
          <w:tab w:val="num" w:pos="0"/>
        </w:tabs>
        <w:ind w:left="1440" w:hanging="1080"/>
      </w:pPr>
      <w:rPr>
        <w:b/>
        <w:color w:val="000000"/>
      </w:rPr>
    </w:lvl>
    <w:lvl w:ilvl="6">
      <w:start w:val="1"/>
      <w:numFmt w:val="decimal"/>
      <w:lvlText w:val="%1.%2.%3.%4.%5.%6.%7."/>
      <w:lvlJc w:val="left"/>
      <w:pPr>
        <w:tabs>
          <w:tab w:val="num" w:pos="0"/>
        </w:tabs>
        <w:ind w:left="1800" w:hanging="1440"/>
      </w:pPr>
      <w:rPr>
        <w:b/>
        <w:color w:val="000000"/>
      </w:rPr>
    </w:lvl>
    <w:lvl w:ilvl="7">
      <w:start w:val="1"/>
      <w:numFmt w:val="decimal"/>
      <w:lvlText w:val="%1.%2.%3.%4.%5.%6.%7.%8."/>
      <w:lvlJc w:val="left"/>
      <w:pPr>
        <w:tabs>
          <w:tab w:val="num" w:pos="0"/>
        </w:tabs>
        <w:ind w:left="1800" w:hanging="1440"/>
      </w:pPr>
      <w:rPr>
        <w:b/>
        <w:color w:val="000000"/>
      </w:rPr>
    </w:lvl>
    <w:lvl w:ilvl="8">
      <w:start w:val="1"/>
      <w:numFmt w:val="decimal"/>
      <w:lvlText w:val="%1.%2.%3.%4.%5.%6.%7.%8.%9."/>
      <w:lvlJc w:val="left"/>
      <w:pPr>
        <w:tabs>
          <w:tab w:val="num" w:pos="0"/>
        </w:tabs>
        <w:ind w:left="2160" w:hanging="1800"/>
      </w:pPr>
      <w:rPr>
        <w:b/>
        <w:color w:val="000000"/>
      </w:r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45" w:hanging="405"/>
      </w:pPr>
      <w:rPr>
        <w:sz w:val="24"/>
        <w:b/>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lvl w:ilvl="0">
      <w:start w:val="1"/>
      <w:numFmt w:val="decimal"/>
      <w:lvlText w:val="%1."/>
      <w:lvlJc w:val="left"/>
      <w:pPr>
        <w:tabs>
          <w:tab w:val="num" w:pos="0"/>
        </w:tabs>
        <w:ind w:left="-540" w:hanging="360"/>
      </w:pPr>
      <w:rPr>
        <w:sz w:val="24"/>
        <w:b w:val="false"/>
        <w:szCs w:val="24"/>
      </w:rPr>
    </w:lvl>
    <w:lvl w:ilvl="1">
      <w:start w:val="1"/>
      <w:numFmt w:val="lowerLetter"/>
      <w:lvlText w:val="%2."/>
      <w:lvlJc w:val="left"/>
      <w:pPr>
        <w:tabs>
          <w:tab w:val="num" w:pos="0"/>
        </w:tabs>
        <w:ind w:left="180" w:hanging="360"/>
      </w:pPr>
    </w:lvl>
    <w:lvl w:ilvl="2">
      <w:start w:val="1"/>
      <w:numFmt w:val="lowerRoman"/>
      <w:lvlText w:val="%3."/>
      <w:lvlJc w:val="right"/>
      <w:pPr>
        <w:tabs>
          <w:tab w:val="num" w:pos="0"/>
        </w:tabs>
        <w:ind w:left="900" w:hanging="180"/>
      </w:pPr>
    </w:lvl>
    <w:lvl w:ilvl="3">
      <w:start w:val="1"/>
      <w:numFmt w:val="decimal"/>
      <w:lvlText w:val="%4."/>
      <w:lvlJc w:val="left"/>
      <w:pPr>
        <w:tabs>
          <w:tab w:val="num" w:pos="0"/>
        </w:tabs>
        <w:ind w:left="1620" w:hanging="360"/>
      </w:pPr>
    </w:lvl>
    <w:lvl w:ilvl="4">
      <w:start w:val="1"/>
      <w:numFmt w:val="lowerLetter"/>
      <w:lvlText w:val="%5."/>
      <w:lvlJc w:val="left"/>
      <w:pPr>
        <w:tabs>
          <w:tab w:val="num" w:pos="0"/>
        </w:tabs>
        <w:ind w:left="2340" w:hanging="360"/>
      </w:pPr>
    </w:lvl>
    <w:lvl w:ilvl="5">
      <w:start w:val="1"/>
      <w:numFmt w:val="lowerRoman"/>
      <w:lvlText w:val="%6."/>
      <w:lvlJc w:val="right"/>
      <w:pPr>
        <w:tabs>
          <w:tab w:val="num" w:pos="0"/>
        </w:tabs>
        <w:ind w:left="3060" w:hanging="180"/>
      </w:pPr>
    </w:lvl>
    <w:lvl w:ilvl="6">
      <w:start w:val="1"/>
      <w:numFmt w:val="decimal"/>
      <w:lvlText w:val="%7."/>
      <w:lvlJc w:val="left"/>
      <w:pPr>
        <w:tabs>
          <w:tab w:val="num" w:pos="0"/>
        </w:tabs>
        <w:ind w:left="3780" w:hanging="360"/>
      </w:pPr>
    </w:lvl>
    <w:lvl w:ilvl="7">
      <w:start w:val="1"/>
      <w:numFmt w:val="lowerLetter"/>
      <w:lvlText w:val="%8."/>
      <w:lvlJc w:val="left"/>
      <w:pPr>
        <w:tabs>
          <w:tab w:val="num" w:pos="0"/>
        </w:tabs>
        <w:ind w:left="4500" w:hanging="360"/>
      </w:pPr>
    </w:lvl>
    <w:lvl w:ilvl="8">
      <w:start w:val="1"/>
      <w:numFmt w:val="lowerRoman"/>
      <w:lvlText w:val="%9."/>
      <w:lvlJc w:val="right"/>
      <w:pPr>
        <w:tabs>
          <w:tab w:val="num" w:pos="0"/>
        </w:tabs>
        <w:ind w:left="522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bed"/>
    <w:pPr>
      <w:widowControl/>
      <w:suppressAutoHyphens w:val="true"/>
      <w:bidi w:val="0"/>
      <w:spacing w:before="0" w:after="0"/>
      <w:jc w:val="left"/>
    </w:pPr>
    <w:rPr>
      <w:rFonts w:ascii="Times New Roman" w:hAnsi="Times New Roman" w:eastAsia="Times New Roman" w:cs="Times New Roman"/>
      <w:color w:val="auto"/>
      <w:kern w:val="0"/>
      <w:sz w:val="20"/>
      <w:szCs w:val="20"/>
      <w:lang w:eastAsia="zh-CN" w:val="en-US" w:bidi="ar-SA"/>
    </w:rPr>
  </w:style>
  <w:style w:type="paragraph" w:styleId="1">
    <w:name w:val="Heading 1"/>
    <w:basedOn w:val="Normal"/>
    <w:next w:val="Normal"/>
    <w:link w:val="10"/>
    <w:uiPriority w:val="9"/>
    <w:qFormat/>
    <w:rsid w:val="007f6198"/>
    <w:pPr>
      <w:keepNext w:val="true"/>
      <w:numPr>
        <w:ilvl w:val="0"/>
        <w:numId w:val="1"/>
      </w:numPr>
      <w:spacing w:before="240" w:after="60"/>
      <w:outlineLvl w:val="0"/>
    </w:pPr>
    <w:rPr>
      <w:rFonts w:ascii="Arial" w:hAnsi="Arial" w:cs="Arial"/>
      <w:b/>
      <w:bCs/>
      <w:kern w:val="2"/>
      <w:sz w:val="28"/>
      <w:szCs w:val="28"/>
    </w:rPr>
  </w:style>
  <w:style w:type="paragraph" w:styleId="2">
    <w:name w:val="Heading 2"/>
    <w:basedOn w:val="Normal"/>
    <w:next w:val="Normal"/>
    <w:link w:val="20"/>
    <w:uiPriority w:val="9"/>
    <w:semiHidden/>
    <w:unhideWhenUsed/>
    <w:qFormat/>
    <w:rsid w:val="007f6198"/>
    <w:pPr>
      <w:keepNext w:val="true"/>
      <w:numPr>
        <w:ilvl w:val="1"/>
        <w:numId w:val="1"/>
      </w:numPr>
      <w:spacing w:before="240" w:after="60"/>
      <w:outlineLvl w:val="1"/>
    </w:pPr>
    <w:rPr>
      <w:rFonts w:ascii="Arial" w:hAnsi="Arial" w:cs="Arial"/>
      <w:b/>
      <w:bCs/>
      <w:i/>
      <w:iCs/>
    </w:rPr>
  </w:style>
  <w:style w:type="paragraph" w:styleId="3">
    <w:name w:val="Heading 3"/>
    <w:basedOn w:val="Normal"/>
    <w:next w:val="Normal"/>
    <w:link w:val="30"/>
    <w:uiPriority w:val="9"/>
    <w:semiHidden/>
    <w:unhideWhenUsed/>
    <w:qFormat/>
    <w:rsid w:val="007f6198"/>
    <w:pPr>
      <w:keepNext w:val="true"/>
      <w:numPr>
        <w:ilvl w:val="2"/>
        <w:numId w:val="1"/>
      </w:numPr>
      <w:spacing w:before="240" w:after="60"/>
      <w:outlineLvl w:val="2"/>
    </w:pPr>
    <w:rPr>
      <w:b/>
      <w:bCs/>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sz w:val="22"/>
      <w:szCs w:val="22"/>
    </w:rPr>
  </w:style>
  <w:style w:type="paragraph" w:styleId="6">
    <w:name w:val="Heading 6"/>
    <w:basedOn w:val="Normal"/>
    <w:next w:val="Normal"/>
    <w:uiPriority w:val="9"/>
    <w:semiHidden/>
    <w:unhideWhenUsed/>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9"/>
    <w:qFormat/>
    <w:locked/>
    <w:rsid w:val="003c166d"/>
    <w:rPr>
      <w:rFonts w:ascii="Cambria" w:hAnsi="Cambria" w:cs="Cambria"/>
      <w:b/>
      <w:bCs/>
      <w:kern w:val="2"/>
      <w:sz w:val="32"/>
      <w:szCs w:val="32"/>
      <w:lang w:val="en-US" w:eastAsia="zh-CN"/>
    </w:rPr>
  </w:style>
  <w:style w:type="character" w:styleId="21" w:customStyle="1">
    <w:name w:val="Заголовок 2 Знак"/>
    <w:link w:val="2"/>
    <w:uiPriority w:val="99"/>
    <w:semiHidden/>
    <w:qFormat/>
    <w:locked/>
    <w:rsid w:val="003c166d"/>
    <w:rPr>
      <w:rFonts w:ascii="Cambria" w:hAnsi="Cambria" w:cs="Cambria"/>
      <w:b/>
      <w:bCs/>
      <w:i/>
      <w:iCs/>
      <w:sz w:val="28"/>
      <w:szCs w:val="28"/>
      <w:lang w:val="en-US" w:eastAsia="zh-CN"/>
    </w:rPr>
  </w:style>
  <w:style w:type="character" w:styleId="31" w:customStyle="1">
    <w:name w:val="Заголовок 3 Знак"/>
    <w:link w:val="3"/>
    <w:uiPriority w:val="99"/>
    <w:semiHidden/>
    <w:qFormat/>
    <w:locked/>
    <w:rsid w:val="003c166d"/>
    <w:rPr>
      <w:rFonts w:ascii="Cambria" w:hAnsi="Cambria" w:cs="Cambria"/>
      <w:b/>
      <w:bCs/>
      <w:sz w:val="26"/>
      <w:szCs w:val="26"/>
      <w:lang w:val="en-US" w:eastAsia="zh-CN"/>
    </w:rPr>
  </w:style>
  <w:style w:type="character" w:styleId="Style8" w:customStyle="1">
    <w:name w:val="Основний текст Знак"/>
    <w:uiPriority w:val="99"/>
    <w:semiHidden/>
    <w:qFormat/>
    <w:locked/>
    <w:rsid w:val="003c166d"/>
    <w:rPr>
      <w:rFonts w:ascii="Times New Roman" w:hAnsi="Times New Roman" w:cs="Times New Roman"/>
      <w:sz w:val="20"/>
      <w:szCs w:val="20"/>
      <w:lang w:val="en-US" w:eastAsia="zh-CN"/>
    </w:rPr>
  </w:style>
  <w:style w:type="character" w:styleId="Rvts37" w:customStyle="1">
    <w:name w:val="rvts37"/>
    <w:basedOn w:val="DefaultParagraphFont"/>
    <w:uiPriority w:val="99"/>
    <w:qFormat/>
    <w:rsid w:val="00ab3e27"/>
    <w:rPr/>
  </w:style>
  <w:style w:type="character" w:styleId="Style9" w:customStyle="1">
    <w:name w:val="Интернет-ссылка"/>
    <w:uiPriority w:val="99"/>
    <w:rsid w:val="00677f6a"/>
    <w:rPr>
      <w:color w:val="0000FF"/>
      <w:u w:val="single"/>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uiPriority w:val="99"/>
    <w:rsid w:val="007f6198"/>
    <w:pPr>
      <w:spacing w:lineRule="auto" w:line="276" w:before="0" w:after="140"/>
    </w:pPr>
    <w:rPr/>
  </w:style>
  <w:style w:type="paragraph" w:styleId="Style12">
    <w:name w:val="List"/>
    <w:basedOn w:val="Style11"/>
    <w:uiPriority w:val="99"/>
    <w:rsid w:val="007f6198"/>
    <w:pPr/>
    <w:rPr/>
  </w:style>
  <w:style w:type="paragraph" w:styleId="Style13">
    <w:name w:val="Caption"/>
    <w:basedOn w:val="Normal"/>
    <w:qFormat/>
    <w:pPr>
      <w:suppressLineNumbers/>
      <w:spacing w:before="120" w:after="120"/>
    </w:pPr>
    <w:rPr>
      <w:rFonts w:cs="Arial"/>
      <w:i/>
      <w:iCs/>
      <w:sz w:val="24"/>
      <w:szCs w:val="24"/>
    </w:rPr>
  </w:style>
  <w:style w:type="paragraph" w:styleId="Style14">
    <w:name w:val="Указатель"/>
    <w:basedOn w:val="Normal"/>
    <w:qFormat/>
    <w:pPr>
      <w:suppressLineNumbers/>
    </w:pPr>
    <w:rPr>
      <w:rFonts w:cs="Arial"/>
    </w:rPr>
  </w:style>
  <w:style w:type="paragraph" w:styleId="12" w:customStyle="1">
    <w:name w:val="Заголовок1"/>
    <w:basedOn w:val="Normal"/>
    <w:next w:val="Style11"/>
    <w:uiPriority w:val="99"/>
    <w:qFormat/>
    <w:rsid w:val="007f6198"/>
    <w:pPr>
      <w:keepNext w:val="true"/>
      <w:spacing w:before="240" w:after="120"/>
    </w:pPr>
    <w:rPr>
      <w:rFonts w:ascii="Liberation Sans" w:hAnsi="Liberation Sans" w:eastAsia="WenQuanYi Micro Hei" w:cs="Liberation Sans"/>
      <w:sz w:val="28"/>
      <w:szCs w:val="28"/>
    </w:rPr>
  </w:style>
  <w:style w:type="paragraph" w:styleId="Caption">
    <w:name w:val="caption"/>
    <w:basedOn w:val="Normal"/>
    <w:uiPriority w:val="99"/>
    <w:qFormat/>
    <w:rsid w:val="007f6198"/>
    <w:pPr>
      <w:suppressLineNumbers/>
      <w:spacing w:before="120" w:after="120"/>
    </w:pPr>
    <w:rPr>
      <w:i/>
      <w:iCs/>
      <w:sz w:val="24"/>
      <w:szCs w:val="24"/>
    </w:rPr>
  </w:style>
  <w:style w:type="paragraph" w:styleId="13" w:customStyle="1">
    <w:name w:val="Указатель1"/>
    <w:basedOn w:val="Normal"/>
    <w:uiPriority w:val="99"/>
    <w:qFormat/>
    <w:rsid w:val="007f6198"/>
    <w:pPr>
      <w:suppressLineNumbers/>
    </w:pPr>
    <w:rPr/>
  </w:style>
  <w:style w:type="paragraph" w:styleId="Style15">
    <w:name w:val="Title"/>
    <w:basedOn w:val="Normal"/>
    <w:next w:val="Normal"/>
    <w:uiPriority w:val="10"/>
    <w:qFormat/>
    <w:pPr>
      <w:keepNext w:val="true"/>
      <w:keepLines/>
      <w:spacing w:before="480" w:after="120"/>
    </w:pPr>
    <w:rPr>
      <w:b/>
      <w:sz w:val="72"/>
      <w:szCs w:val="72"/>
    </w:rPr>
  </w:style>
  <w:style w:type="paragraph" w:styleId="Rvps2" w:customStyle="1">
    <w:name w:val="rvps2"/>
    <w:basedOn w:val="Normal"/>
    <w:uiPriority w:val="99"/>
    <w:qFormat/>
    <w:rsid w:val="00ab3e27"/>
    <w:pPr>
      <w:spacing w:beforeAutospacing="1" w:afterAutospacing="1"/>
    </w:pPr>
    <w:rPr>
      <w:rFonts w:eastAsia="WenQuanYi Micro Hei"/>
      <w:sz w:val="24"/>
      <w:szCs w:val="24"/>
      <w:lang w:val="ru-RU" w:eastAsia="ru-RU"/>
    </w:rPr>
  </w:style>
  <w:style w:type="paragraph" w:styleId="NormalWeb">
    <w:name w:val="Normal (Web)"/>
    <w:basedOn w:val="Normal"/>
    <w:uiPriority w:val="99"/>
    <w:semiHidden/>
    <w:unhideWhenUsed/>
    <w:qFormat/>
    <w:rsid w:val="009f3c7d"/>
    <w:pPr>
      <w:spacing w:beforeAutospacing="1" w:afterAutospacing="1"/>
    </w:pPr>
    <w:rPr>
      <w:sz w:val="24"/>
      <w:szCs w:val="24"/>
      <w:lang w:val="uk-UA" w:eastAsia="uk-UA"/>
    </w:rPr>
  </w:style>
  <w:style w:type="paragraph" w:styleId="Style16">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c1076"/>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xrQfemUE7Qsm2RQCVH3vg3c3McQ==">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LibreOffice/7.0.3.1$Windows_X86_64 LibreOffice_project/d7547858d014d4cf69878db179d326fc3483e082</Application>
  <Pages>16</Pages>
  <Words>5655</Words>
  <Characters>37098</Characters>
  <CharactersWithSpaces>42490</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2020-04-17T23:07:00Z</dcterms:created>
  <dc:creator>АСІГД DAC</dc:creator>
  <dc:description/>
  <dc:language>uk-UA</dc:language>
  <cp:lastModifiedBy/>
  <cp:lastPrinted>2022-06-10T16:10:00Z</cp:lastPrinted>
  <dcterms:modified xsi:type="dcterms:W3CDTF">2022-06-23T11:42:23Z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