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27D" w:rsidRPr="00684666" w:rsidRDefault="00042E30" w:rsidP="00C80B3F">
      <w:pPr>
        <w:spacing w:after="0" w:line="0" w:lineRule="atLeast"/>
        <w:jc w:val="right"/>
        <w:rPr>
          <w:rFonts w:ascii="Times New Roman" w:eastAsia="Times New Roman" w:hAnsi="Times New Roman" w:cs="Times New Roman"/>
          <w:b/>
          <w:sz w:val="24"/>
          <w:szCs w:val="24"/>
        </w:rPr>
      </w:pPr>
      <w:r w:rsidRPr="00684666">
        <w:rPr>
          <w:rFonts w:ascii="Times New Roman" w:eastAsia="Times New Roman" w:hAnsi="Times New Roman" w:cs="Times New Roman"/>
          <w:b/>
          <w:color w:val="000000"/>
          <w:sz w:val="24"/>
          <w:szCs w:val="24"/>
        </w:rPr>
        <w:t>Д</w:t>
      </w:r>
      <w:r w:rsidR="00C80B3F" w:rsidRPr="00684666">
        <w:rPr>
          <w:rFonts w:ascii="Times New Roman" w:eastAsia="Times New Roman" w:hAnsi="Times New Roman" w:cs="Times New Roman"/>
          <w:b/>
          <w:color w:val="000000"/>
          <w:sz w:val="24"/>
          <w:szCs w:val="24"/>
        </w:rPr>
        <w:t>одаток</w:t>
      </w:r>
      <w:r w:rsidRPr="00684666">
        <w:rPr>
          <w:rFonts w:ascii="Times New Roman" w:eastAsia="Times New Roman" w:hAnsi="Times New Roman" w:cs="Times New Roman"/>
          <w:b/>
          <w:color w:val="000000"/>
          <w:sz w:val="24"/>
          <w:szCs w:val="24"/>
        </w:rPr>
        <w:t xml:space="preserve"> 1</w:t>
      </w:r>
    </w:p>
    <w:p w:rsidR="0080427D" w:rsidRPr="00684666" w:rsidRDefault="00042E30" w:rsidP="00C80B3F">
      <w:pPr>
        <w:spacing w:after="0" w:line="0" w:lineRule="atLeast"/>
        <w:jc w:val="right"/>
        <w:rPr>
          <w:rFonts w:ascii="Times New Roman" w:eastAsia="Times New Roman" w:hAnsi="Times New Roman" w:cs="Times New Roman"/>
          <w:b/>
          <w:sz w:val="24"/>
          <w:szCs w:val="24"/>
        </w:rPr>
      </w:pPr>
      <w:r w:rsidRPr="00684666">
        <w:rPr>
          <w:rFonts w:ascii="Times New Roman" w:eastAsia="Times New Roman" w:hAnsi="Times New Roman" w:cs="Times New Roman"/>
          <w:b/>
          <w:color w:val="000000"/>
          <w:sz w:val="24"/>
          <w:szCs w:val="24"/>
        </w:rPr>
        <w:t>до тендерної документації</w:t>
      </w:r>
    </w:p>
    <w:p w:rsidR="00C80B3F" w:rsidRPr="00684666" w:rsidRDefault="00C80B3F" w:rsidP="00C80B3F">
      <w:pPr>
        <w:shd w:val="clear" w:color="auto" w:fill="FFFFFF"/>
        <w:spacing w:after="0" w:line="0" w:lineRule="atLeast"/>
        <w:jc w:val="both"/>
        <w:rPr>
          <w:rFonts w:ascii="Times New Roman" w:eastAsia="Times New Roman" w:hAnsi="Times New Roman" w:cs="Times New Roman"/>
          <w:b/>
          <w:color w:val="000000"/>
          <w:sz w:val="20"/>
          <w:szCs w:val="20"/>
        </w:rPr>
      </w:pPr>
    </w:p>
    <w:p w:rsidR="0080427D" w:rsidRPr="00684666" w:rsidRDefault="00C80B3F" w:rsidP="00C80B3F">
      <w:pPr>
        <w:shd w:val="clear" w:color="auto" w:fill="FFFFFF"/>
        <w:spacing w:after="0" w:line="0" w:lineRule="atLeast"/>
        <w:ind w:firstLine="567"/>
        <w:jc w:val="both"/>
        <w:rPr>
          <w:rFonts w:ascii="Times New Roman" w:eastAsia="Times New Roman" w:hAnsi="Times New Roman" w:cs="Times New Roman"/>
          <w:b/>
          <w:color w:val="000000"/>
          <w:sz w:val="20"/>
          <w:szCs w:val="20"/>
        </w:rPr>
      </w:pPr>
      <w:r w:rsidRPr="00684666">
        <w:rPr>
          <w:rFonts w:ascii="Times New Roman" w:eastAsia="Times New Roman" w:hAnsi="Times New Roman" w:cs="Times New Roman"/>
          <w:b/>
          <w:color w:val="000000"/>
          <w:sz w:val="20"/>
          <w:szCs w:val="20"/>
        </w:rPr>
        <w:t xml:space="preserve">1. </w:t>
      </w:r>
      <w:r w:rsidR="00042E30" w:rsidRPr="00684666">
        <w:rPr>
          <w:rFonts w:ascii="Times New Roman" w:eastAsia="Times New Roman" w:hAnsi="Times New Roman" w:cs="Times New Roman"/>
          <w:b/>
          <w:color w:val="000000"/>
          <w:sz w:val="20"/>
          <w:szCs w:val="20"/>
        </w:rPr>
        <w:t>Перелік документів та інформації для підтвердження відповідності У</w:t>
      </w:r>
      <w:r w:rsidRPr="00684666">
        <w:rPr>
          <w:rFonts w:ascii="Times New Roman" w:eastAsia="Times New Roman" w:hAnsi="Times New Roman" w:cs="Times New Roman"/>
          <w:b/>
          <w:color w:val="000000"/>
          <w:sz w:val="20"/>
          <w:szCs w:val="20"/>
        </w:rPr>
        <w:t>часника</w:t>
      </w:r>
      <w:r w:rsidR="00042E30" w:rsidRPr="00684666">
        <w:rPr>
          <w:rFonts w:ascii="Times New Roman" w:eastAsia="Times New Roman" w:hAnsi="Times New Roman" w:cs="Times New Roman"/>
          <w:b/>
          <w:color w:val="000000"/>
          <w:sz w:val="20"/>
          <w:szCs w:val="20"/>
        </w:rPr>
        <w:t xml:space="preserve"> кваліфікаційним критеріям, визначеним у статті 16 Закону:</w:t>
      </w:r>
    </w:p>
    <w:p w:rsidR="00C80B3F" w:rsidRPr="00684666" w:rsidRDefault="00C80B3F" w:rsidP="00C80B3F">
      <w:pPr>
        <w:spacing w:after="0" w:line="0" w:lineRule="atLeast"/>
        <w:jc w:val="center"/>
        <w:rPr>
          <w:rFonts w:ascii="Times New Roman" w:eastAsia="Times New Roman" w:hAnsi="Times New Roman" w:cs="Times New Roman"/>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80427D" w:rsidRPr="0068466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427D" w:rsidRPr="00684666" w:rsidRDefault="00042E30" w:rsidP="00C80B3F">
            <w:pPr>
              <w:spacing w:after="0" w:line="0" w:lineRule="atLeast"/>
              <w:jc w:val="center"/>
              <w:rPr>
                <w:rFonts w:ascii="Times New Roman" w:eastAsia="Times New Roman" w:hAnsi="Times New Roman" w:cs="Times New Roman"/>
                <w:sz w:val="20"/>
                <w:szCs w:val="20"/>
              </w:rPr>
            </w:pPr>
            <w:r w:rsidRPr="00684666">
              <w:rPr>
                <w:rFonts w:ascii="Times New Roman" w:eastAsia="Times New Roman" w:hAnsi="Times New Roman" w:cs="Times New Roman"/>
                <w:b/>
                <w:color w:val="000000"/>
                <w:sz w:val="20"/>
                <w:szCs w:val="20"/>
              </w:rPr>
              <w:t xml:space="preserve">№ </w:t>
            </w:r>
            <w:r w:rsidRPr="00684666">
              <w:rPr>
                <w:rFonts w:ascii="Times New Roman" w:eastAsia="Times New Roman" w:hAnsi="Times New Roman" w:cs="Times New Roman"/>
                <w:b/>
                <w:sz w:val="20"/>
                <w:szCs w:val="20"/>
              </w:rPr>
              <w:t>з</w:t>
            </w:r>
            <w:r w:rsidRPr="00684666">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427D" w:rsidRPr="00684666" w:rsidRDefault="00042E30" w:rsidP="00C80B3F">
            <w:pPr>
              <w:spacing w:after="0" w:line="0" w:lineRule="atLeast"/>
              <w:jc w:val="center"/>
              <w:rPr>
                <w:rFonts w:ascii="Times New Roman" w:eastAsia="Times New Roman" w:hAnsi="Times New Roman" w:cs="Times New Roman"/>
                <w:sz w:val="20"/>
                <w:szCs w:val="20"/>
              </w:rPr>
            </w:pPr>
            <w:r w:rsidRPr="00684666">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427D" w:rsidRPr="00684666" w:rsidRDefault="00042E30" w:rsidP="00C80B3F">
            <w:pPr>
              <w:spacing w:after="0" w:line="0" w:lineRule="atLeast"/>
              <w:jc w:val="center"/>
              <w:rPr>
                <w:rFonts w:ascii="Times New Roman" w:eastAsia="Times New Roman" w:hAnsi="Times New Roman" w:cs="Times New Roman"/>
                <w:sz w:val="20"/>
                <w:szCs w:val="20"/>
              </w:rPr>
            </w:pPr>
            <w:r w:rsidRPr="00684666">
              <w:rPr>
                <w:rFonts w:ascii="Times New Roman" w:eastAsia="Times New Roman" w:hAnsi="Times New Roman" w:cs="Times New Roman"/>
                <w:b/>
                <w:color w:val="000000"/>
                <w:sz w:val="20"/>
                <w:szCs w:val="20"/>
              </w:rPr>
              <w:t xml:space="preserve">Документи </w:t>
            </w:r>
            <w:r w:rsidRPr="00684666">
              <w:rPr>
                <w:rFonts w:ascii="Times New Roman" w:eastAsia="Times New Roman" w:hAnsi="Times New Roman" w:cs="Times New Roman"/>
                <w:b/>
                <w:sz w:val="20"/>
                <w:szCs w:val="20"/>
              </w:rPr>
              <w:t>та інформація,</w:t>
            </w:r>
            <w:r w:rsidR="00C80B3F" w:rsidRPr="00684666">
              <w:rPr>
                <w:rFonts w:ascii="Times New Roman" w:eastAsia="Times New Roman" w:hAnsi="Times New Roman" w:cs="Times New Roman"/>
                <w:b/>
                <w:sz w:val="20"/>
                <w:szCs w:val="20"/>
              </w:rPr>
              <w:t xml:space="preserve"> </w:t>
            </w:r>
            <w:r w:rsidRPr="00684666">
              <w:rPr>
                <w:rFonts w:ascii="Times New Roman" w:eastAsia="Times New Roman" w:hAnsi="Times New Roman" w:cs="Times New Roman"/>
                <w:b/>
                <w:sz w:val="20"/>
                <w:szCs w:val="20"/>
              </w:rPr>
              <w:t xml:space="preserve">які </w:t>
            </w:r>
            <w:r w:rsidRPr="00684666">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DD537B" w:rsidRPr="00684666" w:rsidTr="00DD537B">
        <w:trPr>
          <w:trHeight w:val="117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37B" w:rsidRPr="00684666" w:rsidRDefault="00DD537B" w:rsidP="00C80B3F">
            <w:pPr>
              <w:spacing w:after="0" w:line="0" w:lineRule="atLeas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37B" w:rsidRPr="00684666" w:rsidRDefault="00DD537B" w:rsidP="00C80B3F">
            <w:pPr>
              <w:spacing w:after="0" w:line="0" w:lineRule="atLeas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w:t>
            </w:r>
            <w:r w:rsidRPr="00DD537B">
              <w:rPr>
                <w:rFonts w:ascii="Times New Roman" w:eastAsia="Times New Roman" w:hAnsi="Times New Roman" w:cs="Times New Roman"/>
                <w:b/>
                <w:color w:val="000000"/>
                <w:sz w:val="20"/>
                <w:szCs w:val="20"/>
              </w:rPr>
              <w:t>аявність в учасника процедури закупівлі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37B" w:rsidRPr="00DD537B" w:rsidRDefault="00DD537B" w:rsidP="00DD537B">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Pr="00DD537B">
              <w:rPr>
                <w:rFonts w:ascii="Times New Roman" w:eastAsia="Times New Roman" w:hAnsi="Times New Roman" w:cs="Times New Roman"/>
                <w:color w:val="000000"/>
                <w:sz w:val="20"/>
                <w:szCs w:val="20"/>
              </w:rPr>
              <w:t xml:space="preserve">.1. На підтвердження </w:t>
            </w:r>
            <w:r w:rsidRPr="00DD537B">
              <w:rPr>
                <w:rFonts w:ascii="Times New Roman" w:eastAsia="Times New Roman" w:hAnsi="Times New Roman" w:cs="Times New Roman"/>
                <w:color w:val="000000"/>
                <w:sz w:val="20"/>
                <w:szCs w:val="20"/>
              </w:rPr>
              <w:t>наявності обладнання, матеріально-технічної бази та технологій</w:t>
            </w:r>
            <w:r w:rsidRPr="00DD537B">
              <w:rPr>
                <w:rFonts w:ascii="Times New Roman" w:eastAsia="Times New Roman" w:hAnsi="Times New Roman" w:cs="Times New Roman"/>
                <w:color w:val="000000"/>
                <w:sz w:val="20"/>
                <w:szCs w:val="20"/>
              </w:rPr>
              <w:t xml:space="preserve"> Учасник має надати:</w:t>
            </w:r>
          </w:p>
          <w:p w:rsidR="00DD537B" w:rsidRPr="00DD537B" w:rsidRDefault="00DD537B" w:rsidP="00DD537B">
            <w:pPr>
              <w:spacing w:after="0" w:line="0" w:lineRule="atLeast"/>
              <w:jc w:val="both"/>
              <w:rPr>
                <w:rFonts w:ascii="Times New Roman" w:eastAsia="Times New Roman" w:hAnsi="Times New Roman" w:cs="Times New Roman"/>
                <w:sz w:val="20"/>
                <w:szCs w:val="20"/>
              </w:rPr>
            </w:pPr>
            <w:r w:rsidRPr="00DD537B">
              <w:rPr>
                <w:rFonts w:ascii="Times New Roman" w:eastAsia="Times New Roman" w:hAnsi="Times New Roman" w:cs="Times New Roman"/>
                <w:color w:val="000000"/>
                <w:sz w:val="20"/>
                <w:szCs w:val="20"/>
              </w:rPr>
              <w:t>1</w:t>
            </w:r>
            <w:r w:rsidRPr="00DD537B">
              <w:rPr>
                <w:rFonts w:ascii="Times New Roman" w:eastAsia="Times New Roman" w:hAnsi="Times New Roman" w:cs="Times New Roman"/>
                <w:color w:val="000000"/>
                <w:sz w:val="20"/>
                <w:szCs w:val="20"/>
              </w:rPr>
              <w:t xml:space="preserve">.1.1. довідку в довільній формі, з інформацією про </w:t>
            </w:r>
            <w:r w:rsidRPr="00DD537B">
              <w:rPr>
                <w:rFonts w:ascii="Times New Roman" w:eastAsia="Times New Roman" w:hAnsi="Times New Roman" w:cs="Times New Roman"/>
                <w:color w:val="000000"/>
                <w:sz w:val="20"/>
                <w:szCs w:val="20"/>
              </w:rPr>
              <w:t>обладнання, матеріально-технічну базу та технології</w:t>
            </w:r>
            <w:r w:rsidRPr="00DD537B">
              <w:rPr>
                <w:rFonts w:ascii="Times New Roman" w:eastAsia="Times New Roman" w:hAnsi="Times New Roman" w:cs="Times New Roman"/>
                <w:color w:val="000000"/>
                <w:sz w:val="20"/>
                <w:szCs w:val="20"/>
              </w:rPr>
              <w:t>.</w:t>
            </w:r>
          </w:p>
        </w:tc>
      </w:tr>
      <w:tr w:rsidR="00DD537B" w:rsidRPr="00684666" w:rsidTr="00DD537B">
        <w:trPr>
          <w:trHeight w:val="136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37B" w:rsidRPr="00684666" w:rsidRDefault="00DD537B" w:rsidP="00C80B3F">
            <w:pPr>
              <w:spacing w:after="0" w:line="0" w:lineRule="atLeas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37B" w:rsidRPr="00684666" w:rsidRDefault="00DD537B" w:rsidP="00C80B3F">
            <w:pPr>
              <w:spacing w:after="0" w:line="0" w:lineRule="atLeas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w:t>
            </w:r>
            <w:r w:rsidRPr="00DD537B">
              <w:rPr>
                <w:rFonts w:ascii="Times New Roman" w:eastAsia="Times New Roman" w:hAnsi="Times New Roman" w:cs="Times New Roman"/>
                <w:b/>
                <w:color w:val="000000"/>
                <w:sz w:val="20"/>
                <w:szCs w:val="20"/>
              </w:rPr>
              <w:t>аявність в учасника процедури закупівлі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37B" w:rsidRPr="00684666" w:rsidRDefault="00DD537B" w:rsidP="00DD537B">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r w:rsidRPr="00684666">
              <w:rPr>
                <w:rFonts w:ascii="Times New Roman" w:eastAsia="Times New Roman" w:hAnsi="Times New Roman" w:cs="Times New Roman"/>
                <w:color w:val="000000"/>
                <w:sz w:val="20"/>
                <w:szCs w:val="20"/>
              </w:rPr>
              <w:t xml:space="preserve">.1. На підтвердження </w:t>
            </w:r>
            <w:r>
              <w:rPr>
                <w:rFonts w:ascii="Times New Roman" w:eastAsia="Times New Roman" w:hAnsi="Times New Roman" w:cs="Times New Roman"/>
                <w:color w:val="000000"/>
                <w:sz w:val="20"/>
                <w:szCs w:val="20"/>
              </w:rPr>
              <w:t xml:space="preserve">наявності </w:t>
            </w:r>
            <w:r w:rsidRPr="00DD537B">
              <w:rPr>
                <w:rFonts w:ascii="Times New Roman" w:eastAsia="Times New Roman" w:hAnsi="Times New Roman" w:cs="Times New Roman"/>
                <w:color w:val="000000"/>
                <w:sz w:val="20"/>
                <w:szCs w:val="20"/>
              </w:rPr>
              <w:t>працівників відповідної кваліфікації, які мають необхідні знання та досвід</w:t>
            </w:r>
            <w:r w:rsidRPr="00684666">
              <w:rPr>
                <w:rFonts w:ascii="Times New Roman" w:eastAsia="Times New Roman" w:hAnsi="Times New Roman" w:cs="Times New Roman"/>
                <w:color w:val="000000"/>
                <w:sz w:val="20"/>
                <w:szCs w:val="20"/>
              </w:rPr>
              <w:t xml:space="preserve"> Учасник має надати:</w:t>
            </w:r>
          </w:p>
          <w:p w:rsidR="00DD537B" w:rsidRPr="00684666" w:rsidRDefault="00DD537B" w:rsidP="00DD537B">
            <w:pPr>
              <w:spacing w:after="0" w:line="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Pr="00684666">
              <w:rPr>
                <w:rFonts w:ascii="Times New Roman" w:eastAsia="Times New Roman" w:hAnsi="Times New Roman" w:cs="Times New Roman"/>
                <w:color w:val="000000"/>
                <w:sz w:val="20"/>
                <w:szCs w:val="20"/>
              </w:rPr>
              <w:t xml:space="preserve">.1.1. довідку в довільній формі, з інформацією про </w:t>
            </w:r>
            <w:r w:rsidRPr="00DD537B">
              <w:rPr>
                <w:rFonts w:ascii="Times New Roman" w:eastAsia="Times New Roman" w:hAnsi="Times New Roman" w:cs="Times New Roman"/>
                <w:color w:val="000000"/>
                <w:sz w:val="20"/>
                <w:szCs w:val="20"/>
              </w:rPr>
              <w:t>працівників відповідної кваліфікації, які мають необхідні знання та досвід</w:t>
            </w:r>
            <w:r w:rsidRPr="00684666">
              <w:rPr>
                <w:rFonts w:ascii="Times New Roman" w:eastAsia="Times New Roman" w:hAnsi="Times New Roman" w:cs="Times New Roman"/>
                <w:color w:val="000000"/>
                <w:sz w:val="20"/>
                <w:szCs w:val="20"/>
              </w:rPr>
              <w:t>.</w:t>
            </w:r>
          </w:p>
        </w:tc>
      </w:tr>
      <w:tr w:rsidR="0080427D" w:rsidRPr="0068466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Pr="00684666" w:rsidRDefault="00042E30" w:rsidP="00C80B3F">
            <w:pPr>
              <w:spacing w:after="0" w:line="0" w:lineRule="atLeast"/>
              <w:jc w:val="center"/>
              <w:rPr>
                <w:rFonts w:ascii="Times New Roman" w:eastAsia="Times New Roman" w:hAnsi="Times New Roman" w:cs="Times New Roman"/>
                <w:sz w:val="20"/>
                <w:szCs w:val="20"/>
              </w:rPr>
            </w:pPr>
            <w:r w:rsidRPr="00684666">
              <w:rPr>
                <w:rFonts w:ascii="Times New Roman" w:eastAsia="Times New Roman" w:hAnsi="Times New Roman" w:cs="Times New Roman"/>
                <w:b/>
                <w:color w:val="000000"/>
                <w:sz w:val="20"/>
                <w:szCs w:val="20"/>
              </w:rPr>
              <w:t>3</w:t>
            </w:r>
            <w:r w:rsidR="00DD537B">
              <w:rPr>
                <w:rFonts w:ascii="Times New Roman" w:eastAsia="Times New Roman" w:hAnsi="Times New Roman" w:cs="Times New Roman"/>
                <w:b/>
                <w:color w:val="000000"/>
                <w:sz w:val="20"/>
                <w:szCs w:val="20"/>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Pr="00684666" w:rsidRDefault="00042E30" w:rsidP="00C80B3F">
            <w:pPr>
              <w:spacing w:after="0" w:line="0" w:lineRule="atLeast"/>
              <w:rPr>
                <w:rFonts w:ascii="Times New Roman" w:eastAsia="Times New Roman" w:hAnsi="Times New Roman" w:cs="Times New Roman"/>
                <w:sz w:val="20"/>
                <w:szCs w:val="20"/>
              </w:rPr>
            </w:pPr>
            <w:r w:rsidRPr="00684666">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Pr="00684666" w:rsidRDefault="00042E30" w:rsidP="00C80B3F">
            <w:pPr>
              <w:spacing w:after="0" w:line="0" w:lineRule="atLeast"/>
              <w:jc w:val="both"/>
              <w:rPr>
                <w:rFonts w:ascii="Times New Roman" w:eastAsia="Times New Roman" w:hAnsi="Times New Roman" w:cs="Times New Roman"/>
                <w:sz w:val="20"/>
                <w:szCs w:val="20"/>
              </w:rPr>
            </w:pPr>
            <w:r w:rsidRPr="00684666">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80427D" w:rsidRPr="00684666" w:rsidRDefault="00042E30" w:rsidP="00C80B3F">
            <w:pPr>
              <w:spacing w:after="0" w:line="0" w:lineRule="atLeast"/>
              <w:jc w:val="both"/>
              <w:rPr>
                <w:rFonts w:ascii="Times New Roman" w:eastAsia="Times New Roman" w:hAnsi="Times New Roman" w:cs="Times New Roman"/>
                <w:sz w:val="20"/>
                <w:szCs w:val="20"/>
              </w:rPr>
            </w:pPr>
            <w:r w:rsidRPr="00684666">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0427D" w:rsidRPr="00684666" w:rsidRDefault="00042E30" w:rsidP="00C80B3F">
            <w:pPr>
              <w:spacing w:after="0" w:line="0" w:lineRule="atLeast"/>
              <w:jc w:val="both"/>
              <w:rPr>
                <w:rFonts w:ascii="Times New Roman" w:eastAsia="Times New Roman" w:hAnsi="Times New Roman" w:cs="Times New Roman"/>
                <w:sz w:val="20"/>
                <w:szCs w:val="20"/>
              </w:rPr>
            </w:pPr>
            <w:r w:rsidRPr="00684666">
              <w:rPr>
                <w:rFonts w:ascii="Times New Roman" w:eastAsia="Times New Roman" w:hAnsi="Times New Roman" w:cs="Times New Roman"/>
                <w:b/>
                <w:i/>
                <w:color w:val="000000"/>
                <w:sz w:val="20"/>
                <w:szCs w:val="20"/>
              </w:rPr>
              <w:t xml:space="preserve">Аналогічним вважається договір </w:t>
            </w:r>
            <w:r w:rsidR="00C80B3F" w:rsidRPr="00684666">
              <w:rPr>
                <w:rFonts w:ascii="Times New Roman" w:eastAsia="Times New Roman" w:hAnsi="Times New Roman" w:cs="Times New Roman"/>
                <w:b/>
                <w:i/>
                <w:color w:val="000000"/>
                <w:sz w:val="20"/>
                <w:szCs w:val="20"/>
              </w:rPr>
              <w:t xml:space="preserve">такий самий за предметом закупівлі з урахуванням коду за Єдиним закупівельним </w:t>
            </w:r>
            <w:r w:rsidR="00684666" w:rsidRPr="00684666">
              <w:rPr>
                <w:rFonts w:ascii="Times New Roman" w:eastAsia="Times New Roman" w:hAnsi="Times New Roman" w:cs="Times New Roman"/>
                <w:b/>
                <w:i/>
                <w:color w:val="000000"/>
                <w:sz w:val="20"/>
                <w:szCs w:val="20"/>
              </w:rPr>
              <w:t>словником</w:t>
            </w:r>
            <w:r w:rsidR="00C80B3F" w:rsidRPr="00684666">
              <w:rPr>
                <w:rFonts w:ascii="Times New Roman" w:eastAsia="Times New Roman" w:hAnsi="Times New Roman" w:cs="Times New Roman"/>
                <w:b/>
                <w:i/>
                <w:color w:val="000000"/>
                <w:sz w:val="20"/>
                <w:szCs w:val="20"/>
              </w:rPr>
              <w:t xml:space="preserve"> ДК 021:2015.</w:t>
            </w:r>
          </w:p>
          <w:p w:rsidR="0080427D" w:rsidRPr="00684666" w:rsidRDefault="00042E30" w:rsidP="00684666">
            <w:pPr>
              <w:spacing w:after="0" w:line="0" w:lineRule="atLeast"/>
              <w:jc w:val="both"/>
              <w:rPr>
                <w:rFonts w:ascii="Times New Roman" w:eastAsia="Times New Roman" w:hAnsi="Times New Roman" w:cs="Times New Roman"/>
                <w:sz w:val="20"/>
                <w:szCs w:val="20"/>
              </w:rPr>
            </w:pPr>
            <w:r w:rsidRPr="00684666">
              <w:rPr>
                <w:rFonts w:ascii="Times New Roman" w:eastAsia="Times New Roman" w:hAnsi="Times New Roman" w:cs="Times New Roman"/>
                <w:color w:val="000000"/>
                <w:sz w:val="20"/>
                <w:szCs w:val="20"/>
              </w:rPr>
              <w:t xml:space="preserve">3.1.2. не менше 1 копії договору, зазначеного </w:t>
            </w:r>
            <w:r w:rsidRPr="00684666">
              <w:rPr>
                <w:rFonts w:ascii="Times New Roman" w:eastAsia="Times New Roman" w:hAnsi="Times New Roman" w:cs="Times New Roman"/>
                <w:sz w:val="20"/>
                <w:szCs w:val="20"/>
              </w:rPr>
              <w:t>в</w:t>
            </w:r>
            <w:r w:rsidRPr="00684666">
              <w:rPr>
                <w:rFonts w:ascii="Times New Roman" w:eastAsia="Times New Roman" w:hAnsi="Times New Roman" w:cs="Times New Roman"/>
                <w:color w:val="000000"/>
                <w:sz w:val="20"/>
                <w:szCs w:val="20"/>
              </w:rPr>
              <w:t xml:space="preserve"> довідці </w:t>
            </w:r>
            <w:r w:rsidRPr="00684666">
              <w:rPr>
                <w:rFonts w:ascii="Times New Roman" w:eastAsia="Times New Roman" w:hAnsi="Times New Roman" w:cs="Times New Roman"/>
                <w:sz w:val="20"/>
                <w:szCs w:val="20"/>
              </w:rPr>
              <w:t>в</w:t>
            </w:r>
            <w:r w:rsidR="00DD537B">
              <w:rPr>
                <w:rFonts w:ascii="Times New Roman" w:eastAsia="Times New Roman" w:hAnsi="Times New Roman" w:cs="Times New Roman"/>
                <w:color w:val="000000"/>
                <w:sz w:val="20"/>
                <w:szCs w:val="20"/>
              </w:rPr>
              <w:t xml:space="preserve"> повному обсязі.</w:t>
            </w:r>
            <w:r w:rsidRPr="00684666">
              <w:rPr>
                <w:rFonts w:ascii="Times New Roman" w:eastAsia="Times New Roman" w:hAnsi="Times New Roman" w:cs="Times New Roman"/>
                <w:color w:val="000000"/>
                <w:sz w:val="20"/>
                <w:szCs w:val="20"/>
              </w:rPr>
              <w:t xml:space="preserve"> </w:t>
            </w:r>
          </w:p>
        </w:tc>
      </w:tr>
    </w:tbl>
    <w:p w:rsidR="0080427D" w:rsidRPr="00684666" w:rsidRDefault="00042E30" w:rsidP="00C80B3F">
      <w:pPr>
        <w:spacing w:after="0" w:line="0" w:lineRule="atLeast"/>
        <w:jc w:val="both"/>
        <w:rPr>
          <w:rFonts w:ascii="Times New Roman" w:eastAsia="Times New Roman" w:hAnsi="Times New Roman" w:cs="Times New Roman"/>
          <w:sz w:val="20"/>
          <w:szCs w:val="20"/>
        </w:rPr>
      </w:pPr>
      <w:r w:rsidRPr="0068466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80B3F" w:rsidRDefault="00C80B3F" w:rsidP="00C80B3F">
      <w:pPr>
        <w:spacing w:after="0" w:line="0" w:lineRule="atLeast"/>
        <w:jc w:val="both"/>
        <w:rPr>
          <w:rFonts w:ascii="Times New Roman" w:eastAsia="Times New Roman" w:hAnsi="Times New Roman" w:cs="Times New Roman"/>
          <w:b/>
          <w:sz w:val="20"/>
          <w:szCs w:val="20"/>
        </w:rPr>
      </w:pPr>
    </w:p>
    <w:p w:rsidR="0080427D" w:rsidRDefault="00042E30" w:rsidP="00684666">
      <w:pPr>
        <w:spacing w:after="0" w:line="0" w:lineRule="atLeast"/>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w:t>
      </w:r>
      <w:r w:rsidR="00684666">
        <w:rPr>
          <w:rFonts w:ascii="Times New Roman" w:eastAsia="Times New Roman" w:hAnsi="Times New Roman" w:cs="Times New Roman"/>
          <w:b/>
          <w:color w:val="000000"/>
          <w:sz w:val="20"/>
          <w:szCs w:val="20"/>
        </w:rPr>
        <w:t>часника</w:t>
      </w:r>
      <w:r>
        <w:rPr>
          <w:rFonts w:ascii="Times New Roman" w:eastAsia="Times New Roman" w:hAnsi="Times New Roman" w:cs="Times New Roman"/>
          <w:b/>
          <w:color w:val="000000"/>
          <w:sz w:val="20"/>
          <w:szCs w:val="20"/>
        </w:rPr>
        <w:t xml:space="preserve"> вимогам, визначеним у статті 17 Закону відповідно до вимог Особливостей.</w:t>
      </w:r>
    </w:p>
    <w:p w:rsidR="0080427D" w:rsidRDefault="00042E30" w:rsidP="00684666">
      <w:pPr>
        <w:pBdr>
          <w:top w:val="nil"/>
          <w:left w:val="nil"/>
          <w:bottom w:val="nil"/>
          <w:right w:val="nil"/>
          <w:between w:val="nil"/>
        </w:pBdr>
        <w:spacing w:after="0" w:line="0" w:lineRule="atLeast"/>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підтверджує відсутність підстав, визначених статтею 17 Закону (крім пункту 13 частини </w:t>
      </w:r>
      <w:r w:rsidR="00684666">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статті 17 Закону),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під час подання тендерної пропозиції.</w:t>
      </w:r>
    </w:p>
    <w:p w:rsidR="0080427D" w:rsidRDefault="00042E30" w:rsidP="00684666">
      <w:pPr>
        <w:pBdr>
          <w:top w:val="nil"/>
          <w:left w:val="nil"/>
          <w:bottom w:val="nil"/>
          <w:right w:val="nil"/>
          <w:between w:val="nil"/>
        </w:pBdr>
        <w:spacing w:after="0" w:line="0" w:lineRule="atLeast"/>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w:t>
      </w:r>
      <w:r w:rsidR="00684666">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пункту 44 Особливостей.</w:t>
      </w:r>
    </w:p>
    <w:p w:rsidR="0080427D" w:rsidRDefault="00042E30" w:rsidP="00684666">
      <w:pPr>
        <w:pBdr>
          <w:top w:val="nil"/>
          <w:left w:val="nil"/>
          <w:bottom w:val="nil"/>
          <w:right w:val="nil"/>
          <w:between w:val="nil"/>
        </w:pBdr>
        <w:spacing w:after="0" w:line="0" w:lineRule="atLeast"/>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w:t>
      </w:r>
      <w:r w:rsidR="0068466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w:t>
      </w:r>
      <w:r w:rsidR="00684666">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w:t>
      </w:r>
      <w:r w:rsidR="00684666">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статті 17 Закону (крім пункту 13 частини </w:t>
      </w:r>
      <w:r w:rsidR="00684666">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статті 17 Закону).</w:t>
      </w:r>
    </w:p>
    <w:p w:rsidR="00684666" w:rsidRDefault="00684666" w:rsidP="00C80B3F">
      <w:pPr>
        <w:pBdr>
          <w:top w:val="nil"/>
          <w:left w:val="nil"/>
          <w:bottom w:val="nil"/>
          <w:right w:val="nil"/>
          <w:between w:val="nil"/>
        </w:pBdr>
        <w:spacing w:after="0" w:line="0" w:lineRule="atLeast"/>
        <w:jc w:val="both"/>
        <w:rPr>
          <w:rFonts w:ascii="Times New Roman" w:eastAsia="Times New Roman" w:hAnsi="Times New Roman" w:cs="Times New Roman"/>
          <w:sz w:val="20"/>
          <w:szCs w:val="20"/>
        </w:rPr>
      </w:pPr>
    </w:p>
    <w:p w:rsidR="0080427D" w:rsidRDefault="00042E30" w:rsidP="00684666">
      <w:pPr>
        <w:pBdr>
          <w:top w:val="nil"/>
          <w:left w:val="nil"/>
          <w:bottom w:val="nil"/>
          <w:right w:val="nil"/>
          <w:between w:val="nil"/>
        </w:pBdr>
        <w:spacing w:after="0" w:line="0" w:lineRule="atLeast"/>
        <w:ind w:firstLine="56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w:t>
      </w:r>
      <w:r w:rsidR="00684666">
        <w:rPr>
          <w:rFonts w:ascii="Times New Roman" w:eastAsia="Times New Roman" w:hAnsi="Times New Roman" w:cs="Times New Roman"/>
          <w:b/>
          <w:color w:val="000000"/>
          <w:sz w:val="20"/>
          <w:szCs w:val="20"/>
        </w:rPr>
        <w:t>ереможця</w:t>
      </w:r>
      <w:r>
        <w:rPr>
          <w:rFonts w:ascii="Times New Roman" w:eastAsia="Times New Roman" w:hAnsi="Times New Roman" w:cs="Times New Roman"/>
          <w:b/>
          <w:color w:val="000000"/>
          <w:sz w:val="20"/>
          <w:szCs w:val="20"/>
        </w:rPr>
        <w:t xml:space="preserve"> вимогам, визначеним у статті 17 Закону  відповідно до вимог Особливостей:</w:t>
      </w:r>
    </w:p>
    <w:p w:rsidR="0080427D" w:rsidRDefault="00042E30" w:rsidP="00684666">
      <w:pPr>
        <w:spacing w:after="0" w:line="0" w:lineRule="atLeast"/>
        <w:ind w:firstLine="567"/>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w:t>
      </w:r>
      <w:r w:rsidR="00684666">
        <w:rPr>
          <w:rFonts w:ascii="Times New Roman" w:eastAsia="Times New Roman" w:hAnsi="Times New Roman" w:cs="Times New Roman"/>
          <w:sz w:val="20"/>
          <w:szCs w:val="20"/>
          <w:highlight w:val="white"/>
        </w:rPr>
        <w:t>1</w:t>
      </w:r>
      <w:r>
        <w:rPr>
          <w:rFonts w:ascii="Times New Roman" w:eastAsia="Times New Roman" w:hAnsi="Times New Roman" w:cs="Times New Roman"/>
          <w:sz w:val="20"/>
          <w:szCs w:val="20"/>
          <w:highlight w:val="white"/>
        </w:rPr>
        <w:t xml:space="preserve"> статті 17 Закону).</w:t>
      </w:r>
    </w:p>
    <w:p w:rsidR="0080427D" w:rsidRDefault="00042E30" w:rsidP="00684666">
      <w:pPr>
        <w:spacing w:after="0" w:line="0" w:lineRule="atLeast"/>
        <w:ind w:firstLine="567"/>
        <w:jc w:val="both"/>
        <w:rPr>
          <w:rFonts w:ascii="Times New Roman" w:eastAsia="Times New Roman" w:hAnsi="Times New Roman" w:cs="Times New Roman"/>
          <w:b/>
          <w:sz w:val="20"/>
          <w:szCs w:val="20"/>
        </w:rPr>
      </w:pPr>
      <w:r w:rsidRPr="00684666">
        <w:rPr>
          <w:rFonts w:ascii="Times New Roman" w:eastAsia="Times New Roman" w:hAnsi="Times New Roman" w:cs="Times New Roman"/>
          <w:b/>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684666">
        <w:rPr>
          <w:rFonts w:ascii="Times New Roman" w:eastAsia="Times New Roman" w:hAnsi="Times New Roman" w:cs="Times New Roman"/>
          <w:b/>
          <w:sz w:val="20"/>
          <w:szCs w:val="20"/>
        </w:rPr>
        <w:t>закупівель</w:t>
      </w:r>
      <w:proofErr w:type="spellEnd"/>
      <w:r w:rsidRPr="00684666">
        <w:rPr>
          <w:rFonts w:ascii="Times New Roman" w:eastAsia="Times New Roman" w:hAnsi="Times New Roman" w:cs="Times New Roman"/>
          <w:b/>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84666">
        <w:rPr>
          <w:rFonts w:ascii="Times New Roman" w:eastAsia="Times New Roman" w:hAnsi="Times New Roman" w:cs="Times New Roman"/>
          <w:b/>
          <w:sz w:val="20"/>
          <w:szCs w:val="20"/>
        </w:rPr>
        <w:t>закупівель</w:t>
      </w:r>
      <w:proofErr w:type="spellEnd"/>
      <w:r w:rsidRPr="00684666">
        <w:rPr>
          <w:rFonts w:ascii="Times New Roman" w:eastAsia="Times New Roman" w:hAnsi="Times New Roman" w:cs="Times New Roman"/>
          <w:b/>
          <w:sz w:val="20"/>
          <w:szCs w:val="20"/>
        </w:rPr>
        <w:t xml:space="preserve"> документи, що підтверджують відсутність підстав, визначених пунктами 3, 5, 6 і 12 частини </w:t>
      </w:r>
      <w:r w:rsidR="00684666" w:rsidRPr="00684666">
        <w:rPr>
          <w:rFonts w:ascii="Times New Roman" w:eastAsia="Times New Roman" w:hAnsi="Times New Roman" w:cs="Times New Roman"/>
          <w:b/>
          <w:sz w:val="20"/>
          <w:szCs w:val="20"/>
        </w:rPr>
        <w:t>1</w:t>
      </w:r>
      <w:r w:rsidRPr="00684666">
        <w:rPr>
          <w:rFonts w:ascii="Times New Roman" w:eastAsia="Times New Roman" w:hAnsi="Times New Roman" w:cs="Times New Roman"/>
          <w:b/>
          <w:sz w:val="20"/>
          <w:szCs w:val="20"/>
        </w:rPr>
        <w:t xml:space="preserve"> та частиною </w:t>
      </w:r>
      <w:r w:rsidR="00684666" w:rsidRPr="00684666">
        <w:rPr>
          <w:rFonts w:ascii="Times New Roman" w:eastAsia="Times New Roman" w:hAnsi="Times New Roman" w:cs="Times New Roman"/>
          <w:b/>
          <w:sz w:val="20"/>
          <w:szCs w:val="20"/>
        </w:rPr>
        <w:t>2</w:t>
      </w:r>
      <w:r w:rsidRPr="00684666">
        <w:rPr>
          <w:rFonts w:ascii="Times New Roman" w:eastAsia="Times New Roman" w:hAnsi="Times New Roman" w:cs="Times New Roman"/>
          <w:b/>
          <w:sz w:val="20"/>
          <w:szCs w:val="20"/>
        </w:rPr>
        <w:t xml:space="preserve"> статті 17 Закону. </w:t>
      </w:r>
    </w:p>
    <w:p w:rsidR="0080427D" w:rsidRDefault="00042E30" w:rsidP="00684666">
      <w:pPr>
        <w:spacing w:after="0" w:line="0" w:lineRule="atLeast"/>
        <w:ind w:firstLine="56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3.1. Документи, які надаються П</w:t>
      </w:r>
      <w:r w:rsidR="00684666">
        <w:rPr>
          <w:rFonts w:ascii="Times New Roman" w:eastAsia="Times New Roman" w:hAnsi="Times New Roman" w:cs="Times New Roman"/>
          <w:b/>
          <w:color w:val="000000"/>
          <w:sz w:val="20"/>
          <w:szCs w:val="20"/>
        </w:rPr>
        <w:t>ереможцем</w:t>
      </w:r>
      <w:r>
        <w:rPr>
          <w:rFonts w:ascii="Times New Roman" w:eastAsia="Times New Roman" w:hAnsi="Times New Roman" w:cs="Times New Roman"/>
          <w:b/>
          <w:color w:val="000000"/>
          <w:sz w:val="20"/>
          <w:szCs w:val="20"/>
        </w:rPr>
        <w:t xml:space="preserve">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DD537B" w:rsidRPr="00DD537B" w:rsidTr="00684666">
        <w:trPr>
          <w:trHeight w:val="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427D" w:rsidRPr="00DD537B" w:rsidRDefault="00042E30" w:rsidP="00684666">
            <w:pPr>
              <w:spacing w:after="0" w:line="0" w:lineRule="atLeast"/>
              <w:jc w:val="center"/>
              <w:rPr>
                <w:rFonts w:ascii="Times New Roman" w:eastAsia="Times New Roman" w:hAnsi="Times New Roman" w:cs="Times New Roman"/>
                <w:sz w:val="20"/>
                <w:szCs w:val="20"/>
              </w:rPr>
            </w:pPr>
            <w:r w:rsidRPr="00DD537B">
              <w:rPr>
                <w:rFonts w:ascii="Times New Roman" w:eastAsia="Times New Roman" w:hAnsi="Times New Roman" w:cs="Times New Roman"/>
                <w:b/>
                <w:sz w:val="20"/>
                <w:szCs w:val="20"/>
              </w:rPr>
              <w:t>№</w:t>
            </w:r>
          </w:p>
          <w:p w:rsidR="0080427D" w:rsidRPr="00DD537B" w:rsidRDefault="00042E30" w:rsidP="00684666">
            <w:pPr>
              <w:spacing w:after="0" w:line="0" w:lineRule="atLeast"/>
              <w:jc w:val="center"/>
              <w:rPr>
                <w:rFonts w:ascii="Times New Roman" w:eastAsia="Times New Roman" w:hAnsi="Times New Roman" w:cs="Times New Roman"/>
                <w:sz w:val="20"/>
                <w:szCs w:val="20"/>
              </w:rPr>
            </w:pPr>
            <w:r w:rsidRPr="00DD537B">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427D" w:rsidRPr="00DD537B" w:rsidRDefault="00042E30" w:rsidP="00684666">
            <w:pPr>
              <w:spacing w:after="0" w:line="0" w:lineRule="atLeast"/>
              <w:jc w:val="center"/>
              <w:rPr>
                <w:rFonts w:ascii="Times New Roman" w:eastAsia="Times New Roman" w:hAnsi="Times New Roman" w:cs="Times New Roman"/>
                <w:sz w:val="20"/>
                <w:szCs w:val="20"/>
              </w:rPr>
            </w:pPr>
            <w:r w:rsidRPr="00DD537B">
              <w:rPr>
                <w:rFonts w:ascii="Times New Roman" w:eastAsia="Times New Roman" w:hAnsi="Times New Roman" w:cs="Times New Roman"/>
                <w:b/>
                <w:sz w:val="20"/>
                <w:szCs w:val="20"/>
              </w:rPr>
              <w:t>Вимоги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427D" w:rsidRPr="00DD537B" w:rsidRDefault="00042E30" w:rsidP="00684666">
            <w:pPr>
              <w:spacing w:after="0" w:line="0" w:lineRule="atLeast"/>
              <w:jc w:val="center"/>
              <w:rPr>
                <w:rFonts w:ascii="Times New Roman" w:eastAsia="Times New Roman" w:hAnsi="Times New Roman" w:cs="Times New Roman"/>
                <w:sz w:val="20"/>
                <w:szCs w:val="20"/>
              </w:rPr>
            </w:pPr>
            <w:r w:rsidRPr="00DD537B">
              <w:rPr>
                <w:rFonts w:ascii="Times New Roman" w:eastAsia="Times New Roman" w:hAnsi="Times New Roman" w:cs="Times New Roman"/>
                <w:b/>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DD537B" w:rsidRPr="00DD537B" w:rsidTr="005A196D">
        <w:trPr>
          <w:trHeight w:val="28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Pr="00DD537B" w:rsidRDefault="00042E30" w:rsidP="00684666">
            <w:pPr>
              <w:spacing w:after="0" w:line="0" w:lineRule="atLeast"/>
              <w:rPr>
                <w:rFonts w:ascii="Times New Roman" w:eastAsia="Times New Roman" w:hAnsi="Times New Roman" w:cs="Times New Roman"/>
                <w:sz w:val="20"/>
                <w:szCs w:val="20"/>
              </w:rPr>
            </w:pPr>
            <w:r w:rsidRPr="00DD537B">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Pr="00DD537B" w:rsidRDefault="00042E30" w:rsidP="00684666">
            <w:pPr>
              <w:spacing w:after="0" w:line="0" w:lineRule="atLeast"/>
              <w:rPr>
                <w:rFonts w:ascii="Times New Roman" w:eastAsia="Times New Roman" w:hAnsi="Times New Roman" w:cs="Times New Roman"/>
                <w:sz w:val="20"/>
                <w:szCs w:val="20"/>
              </w:rPr>
            </w:pPr>
            <w:r w:rsidRPr="00DD537B">
              <w:rPr>
                <w:rFonts w:ascii="Times New Roman" w:eastAsia="Times New Roman" w:hAnsi="Times New Roman" w:cs="Times New Roman"/>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0427D" w:rsidRPr="00DD537B" w:rsidRDefault="00042E30" w:rsidP="00684666">
            <w:pPr>
              <w:spacing w:after="0" w:line="0" w:lineRule="atLeast"/>
              <w:rPr>
                <w:rFonts w:ascii="Times New Roman" w:eastAsia="Times New Roman" w:hAnsi="Times New Roman" w:cs="Times New Roman"/>
                <w:sz w:val="20"/>
                <w:szCs w:val="20"/>
              </w:rPr>
            </w:pPr>
            <w:r w:rsidRPr="00DD537B">
              <w:rPr>
                <w:rFonts w:ascii="Times New Roman" w:eastAsia="Times New Roman" w:hAnsi="Times New Roman" w:cs="Times New Roman"/>
                <w:b/>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Pr="00DD537B" w:rsidRDefault="00042E30" w:rsidP="00684666">
            <w:pPr>
              <w:spacing w:after="0" w:line="0" w:lineRule="atLeast"/>
              <w:rPr>
                <w:rFonts w:ascii="Times New Roman" w:eastAsia="Times New Roman" w:hAnsi="Times New Roman" w:cs="Times New Roman"/>
                <w:sz w:val="20"/>
                <w:szCs w:val="20"/>
              </w:rPr>
            </w:pPr>
            <w:r w:rsidRPr="00DD537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DD537B">
              <w:rPr>
                <w:rFonts w:ascii="Times New Roman" w:eastAsia="Times New Roman" w:hAnsi="Times New Roman" w:cs="Times New Roman"/>
                <w:b/>
                <w:sz w:val="20"/>
                <w:szCs w:val="20"/>
              </w:rPr>
              <w:t>вебресурсі</w:t>
            </w:r>
            <w:proofErr w:type="spellEnd"/>
            <w:r w:rsidRPr="00DD537B">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D537B" w:rsidRPr="00DD537B" w:rsidTr="005A196D">
        <w:trPr>
          <w:trHeight w:val="205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Pr="00DD537B" w:rsidRDefault="00042E30" w:rsidP="00C80B3F">
            <w:pPr>
              <w:spacing w:after="0" w:line="0" w:lineRule="atLeast"/>
              <w:jc w:val="center"/>
              <w:rPr>
                <w:rFonts w:ascii="Times New Roman" w:eastAsia="Times New Roman" w:hAnsi="Times New Roman" w:cs="Times New Roman"/>
                <w:sz w:val="20"/>
                <w:szCs w:val="20"/>
              </w:rPr>
            </w:pPr>
            <w:r w:rsidRPr="00DD537B">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Pr="00DD537B" w:rsidRDefault="00042E30" w:rsidP="00C80B3F">
            <w:pPr>
              <w:spacing w:after="0" w:line="0" w:lineRule="atLeast"/>
              <w:jc w:val="both"/>
              <w:rPr>
                <w:rFonts w:ascii="Times New Roman" w:eastAsia="Times New Roman" w:hAnsi="Times New Roman" w:cs="Times New Roman"/>
                <w:sz w:val="20"/>
                <w:szCs w:val="20"/>
              </w:rPr>
            </w:pPr>
            <w:r w:rsidRPr="00DD537B">
              <w:rPr>
                <w:rFonts w:ascii="Times New Roman" w:eastAsia="Times New Roman" w:hAnsi="Times New Roman" w:cs="Times New Roman"/>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D537B">
              <w:rPr>
                <w:rFonts w:ascii="Times New Roman" w:eastAsia="Times New Roman" w:hAnsi="Times New Roman" w:cs="Times New Roman"/>
                <w:b/>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0427D" w:rsidRPr="00DD537B" w:rsidRDefault="00042E30" w:rsidP="00C80B3F">
            <w:pPr>
              <w:spacing w:after="0" w:line="0" w:lineRule="atLeast"/>
              <w:jc w:val="both"/>
              <w:rPr>
                <w:rFonts w:ascii="Times New Roman" w:eastAsia="Times New Roman" w:hAnsi="Times New Roman" w:cs="Times New Roman"/>
                <w:sz w:val="20"/>
                <w:szCs w:val="20"/>
              </w:rPr>
            </w:pPr>
            <w:r w:rsidRPr="00DD537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DD537B">
              <w:rPr>
                <w:rFonts w:ascii="Times New Roman" w:eastAsia="Times New Roman" w:hAnsi="Times New Roman" w:cs="Times New Roman"/>
                <w:sz w:val="20"/>
                <w:szCs w:val="20"/>
              </w:rPr>
              <w:t xml:space="preserve">Документ повинен бути не більше </w:t>
            </w:r>
            <w:proofErr w:type="spellStart"/>
            <w:r w:rsidRPr="00DD537B">
              <w:rPr>
                <w:rFonts w:ascii="Times New Roman" w:eastAsia="Times New Roman" w:hAnsi="Times New Roman" w:cs="Times New Roman"/>
                <w:sz w:val="20"/>
                <w:szCs w:val="20"/>
              </w:rPr>
              <w:t>тридцятиденної</w:t>
            </w:r>
            <w:proofErr w:type="spellEnd"/>
            <w:r w:rsidRPr="00DD537B">
              <w:rPr>
                <w:rFonts w:ascii="Times New Roman" w:eastAsia="Times New Roman" w:hAnsi="Times New Roman" w:cs="Times New Roman"/>
                <w:sz w:val="20"/>
                <w:szCs w:val="20"/>
              </w:rPr>
              <w:t xml:space="preserve"> давнини від дати подання документа. </w:t>
            </w:r>
          </w:p>
        </w:tc>
      </w:tr>
      <w:tr w:rsidR="00DD537B" w:rsidRPr="00DD537B" w:rsidTr="005A196D">
        <w:trPr>
          <w:trHeight w:val="174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Pr="00DD537B" w:rsidRDefault="00042E30" w:rsidP="00C80B3F">
            <w:pPr>
              <w:spacing w:after="0" w:line="0" w:lineRule="atLeast"/>
              <w:jc w:val="center"/>
              <w:rPr>
                <w:rFonts w:ascii="Times New Roman" w:eastAsia="Times New Roman" w:hAnsi="Times New Roman" w:cs="Times New Roman"/>
                <w:sz w:val="20"/>
                <w:szCs w:val="20"/>
              </w:rPr>
            </w:pPr>
            <w:r w:rsidRPr="00DD537B">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Pr="00DD537B" w:rsidRDefault="00042E30" w:rsidP="00C80B3F">
            <w:pPr>
              <w:spacing w:after="0" w:line="0" w:lineRule="atLeast"/>
              <w:jc w:val="both"/>
              <w:rPr>
                <w:rFonts w:ascii="Times New Roman" w:eastAsia="Times New Roman" w:hAnsi="Times New Roman" w:cs="Times New Roman"/>
                <w:sz w:val="20"/>
                <w:szCs w:val="20"/>
              </w:rPr>
            </w:pPr>
            <w:r w:rsidRPr="00DD537B">
              <w:rPr>
                <w:rFonts w:ascii="Times New Roman" w:eastAsia="Times New Roman" w:hAnsi="Times New Roman" w:cs="Times New Roman"/>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D537B">
              <w:rPr>
                <w:rFonts w:ascii="Times New Roman" w:eastAsia="Times New Roman" w:hAnsi="Times New Roman" w:cs="Times New Roman"/>
                <w:b/>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0427D" w:rsidRPr="00DD537B" w:rsidRDefault="0080427D" w:rsidP="00C80B3F">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rPr>
            </w:pPr>
          </w:p>
        </w:tc>
      </w:tr>
      <w:tr w:rsidR="00DD537B" w:rsidRPr="00DD537B" w:rsidTr="005A196D">
        <w:trPr>
          <w:trHeight w:val="294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Pr="00DD537B" w:rsidRDefault="00042E30" w:rsidP="00C80B3F">
            <w:pPr>
              <w:spacing w:after="0" w:line="0" w:lineRule="atLeast"/>
              <w:jc w:val="center"/>
              <w:rPr>
                <w:rFonts w:ascii="Times New Roman" w:eastAsia="Times New Roman" w:hAnsi="Times New Roman" w:cs="Times New Roman"/>
                <w:b/>
                <w:sz w:val="20"/>
                <w:szCs w:val="20"/>
              </w:rPr>
            </w:pPr>
            <w:r w:rsidRPr="00DD537B">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Pr="00DD537B" w:rsidRDefault="00042E30" w:rsidP="00C80B3F">
            <w:pPr>
              <w:spacing w:after="0" w:line="0" w:lineRule="atLeast"/>
              <w:jc w:val="both"/>
              <w:rPr>
                <w:rFonts w:ascii="Times New Roman" w:eastAsia="Times New Roman" w:hAnsi="Times New Roman" w:cs="Times New Roman"/>
                <w:sz w:val="20"/>
                <w:szCs w:val="20"/>
              </w:rPr>
            </w:pPr>
            <w:r w:rsidRPr="00DD537B">
              <w:rPr>
                <w:rFonts w:ascii="Times New Roman" w:eastAsia="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0427D" w:rsidRPr="00DD537B" w:rsidRDefault="00042E30" w:rsidP="00C80B3F">
            <w:pPr>
              <w:spacing w:after="0" w:line="0" w:lineRule="atLeast"/>
              <w:jc w:val="both"/>
              <w:rPr>
                <w:rFonts w:ascii="Times New Roman" w:eastAsia="Times New Roman" w:hAnsi="Times New Roman" w:cs="Times New Roman"/>
                <w:sz w:val="20"/>
                <w:szCs w:val="20"/>
              </w:rPr>
            </w:pPr>
            <w:r w:rsidRPr="00DD537B">
              <w:rPr>
                <w:rFonts w:ascii="Times New Roman" w:eastAsia="Times New Roman" w:hAnsi="Times New Roman" w:cs="Times New Roman"/>
                <w:b/>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Pr="00DD537B" w:rsidRDefault="00042E30" w:rsidP="00C80B3F">
            <w:pPr>
              <w:spacing w:after="0" w:line="0" w:lineRule="atLeast"/>
              <w:jc w:val="both"/>
              <w:rPr>
                <w:rFonts w:ascii="Times New Roman" w:eastAsia="Times New Roman" w:hAnsi="Times New Roman" w:cs="Times New Roman"/>
                <w:sz w:val="20"/>
                <w:szCs w:val="20"/>
              </w:rPr>
            </w:pPr>
            <w:r w:rsidRPr="00DD537B">
              <w:rPr>
                <w:rFonts w:ascii="Times New Roman" w:eastAsia="Times New Roman" w:hAnsi="Times New Roman" w:cs="Times New Roman"/>
                <w:b/>
                <w:sz w:val="20"/>
                <w:szCs w:val="20"/>
              </w:rPr>
              <w:t>Довідка в довільній формі</w:t>
            </w:r>
            <w:r w:rsidRPr="00DD537B">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0427D" w:rsidRDefault="0080427D" w:rsidP="00C80B3F">
      <w:pPr>
        <w:spacing w:after="0" w:line="0" w:lineRule="atLeast"/>
        <w:rPr>
          <w:rFonts w:ascii="Times New Roman" w:eastAsia="Times New Roman" w:hAnsi="Times New Roman" w:cs="Times New Roman"/>
          <w:b/>
          <w:color w:val="000000"/>
          <w:sz w:val="20"/>
          <w:szCs w:val="20"/>
        </w:rPr>
      </w:pPr>
    </w:p>
    <w:p w:rsidR="008D084C" w:rsidRDefault="008D084C" w:rsidP="00C80B3F">
      <w:pPr>
        <w:spacing w:after="0" w:line="0" w:lineRule="atLeast"/>
        <w:rPr>
          <w:rFonts w:ascii="Times New Roman" w:eastAsia="Times New Roman" w:hAnsi="Times New Roman" w:cs="Times New Roman"/>
          <w:b/>
          <w:color w:val="000000"/>
          <w:sz w:val="20"/>
          <w:szCs w:val="20"/>
        </w:rPr>
      </w:pPr>
    </w:p>
    <w:p w:rsidR="008D084C" w:rsidRDefault="008D084C" w:rsidP="00C80B3F">
      <w:pPr>
        <w:spacing w:after="0" w:line="0" w:lineRule="atLeast"/>
        <w:rPr>
          <w:rFonts w:ascii="Times New Roman" w:eastAsia="Times New Roman" w:hAnsi="Times New Roman" w:cs="Times New Roman"/>
          <w:b/>
          <w:color w:val="000000"/>
          <w:sz w:val="20"/>
          <w:szCs w:val="20"/>
        </w:rPr>
      </w:pPr>
    </w:p>
    <w:p w:rsidR="008D084C" w:rsidRDefault="008D084C" w:rsidP="00C80B3F">
      <w:pPr>
        <w:spacing w:after="0" w:line="0" w:lineRule="atLeast"/>
        <w:rPr>
          <w:rFonts w:ascii="Times New Roman" w:eastAsia="Times New Roman" w:hAnsi="Times New Roman" w:cs="Times New Roman"/>
          <w:b/>
          <w:color w:val="000000"/>
          <w:sz w:val="20"/>
          <w:szCs w:val="20"/>
        </w:rPr>
      </w:pPr>
    </w:p>
    <w:p w:rsidR="008D084C" w:rsidRDefault="008D084C" w:rsidP="00C80B3F">
      <w:pPr>
        <w:spacing w:after="0" w:line="0" w:lineRule="atLeast"/>
        <w:rPr>
          <w:rFonts w:ascii="Times New Roman" w:eastAsia="Times New Roman" w:hAnsi="Times New Roman" w:cs="Times New Roman"/>
          <w:b/>
          <w:color w:val="000000"/>
          <w:sz w:val="20"/>
          <w:szCs w:val="20"/>
        </w:rPr>
      </w:pPr>
    </w:p>
    <w:p w:rsidR="008D084C" w:rsidRDefault="008D084C" w:rsidP="00C80B3F">
      <w:pPr>
        <w:spacing w:after="0" w:line="0" w:lineRule="atLeast"/>
        <w:rPr>
          <w:rFonts w:ascii="Times New Roman" w:eastAsia="Times New Roman" w:hAnsi="Times New Roman" w:cs="Times New Roman"/>
          <w:b/>
          <w:color w:val="000000"/>
          <w:sz w:val="20"/>
          <w:szCs w:val="20"/>
        </w:rPr>
      </w:pPr>
    </w:p>
    <w:p w:rsidR="008D084C" w:rsidRDefault="008D084C" w:rsidP="00C80B3F">
      <w:pPr>
        <w:spacing w:after="0" w:line="0" w:lineRule="atLeast"/>
        <w:rPr>
          <w:rFonts w:ascii="Times New Roman" w:eastAsia="Times New Roman" w:hAnsi="Times New Roman" w:cs="Times New Roman"/>
          <w:b/>
          <w:color w:val="000000"/>
          <w:sz w:val="20"/>
          <w:szCs w:val="20"/>
        </w:rPr>
      </w:pPr>
    </w:p>
    <w:p w:rsidR="008D084C" w:rsidRDefault="008D084C" w:rsidP="00C80B3F">
      <w:pPr>
        <w:spacing w:after="0" w:line="0" w:lineRule="atLeast"/>
        <w:rPr>
          <w:rFonts w:ascii="Times New Roman" w:eastAsia="Times New Roman" w:hAnsi="Times New Roman" w:cs="Times New Roman"/>
          <w:b/>
          <w:color w:val="000000"/>
          <w:sz w:val="20"/>
          <w:szCs w:val="20"/>
        </w:rPr>
      </w:pPr>
    </w:p>
    <w:p w:rsidR="008D084C" w:rsidRDefault="008D084C" w:rsidP="00C80B3F">
      <w:pPr>
        <w:spacing w:after="0" w:line="0" w:lineRule="atLeast"/>
        <w:rPr>
          <w:rFonts w:ascii="Times New Roman" w:eastAsia="Times New Roman" w:hAnsi="Times New Roman" w:cs="Times New Roman"/>
          <w:b/>
          <w:color w:val="000000"/>
          <w:sz w:val="20"/>
          <w:szCs w:val="20"/>
        </w:rPr>
      </w:pPr>
    </w:p>
    <w:p w:rsidR="008D084C" w:rsidRDefault="008D084C" w:rsidP="00C80B3F">
      <w:pPr>
        <w:spacing w:after="0" w:line="0" w:lineRule="atLeast"/>
        <w:rPr>
          <w:rFonts w:ascii="Times New Roman" w:eastAsia="Times New Roman" w:hAnsi="Times New Roman" w:cs="Times New Roman"/>
          <w:b/>
          <w:color w:val="000000"/>
          <w:sz w:val="20"/>
          <w:szCs w:val="20"/>
        </w:rPr>
      </w:pPr>
    </w:p>
    <w:p w:rsidR="005A196D" w:rsidRPr="005A196D" w:rsidRDefault="00042E30" w:rsidP="005A196D">
      <w:pPr>
        <w:spacing w:after="0" w:line="0" w:lineRule="atLeas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3.2. Документи, які надаються П</w:t>
      </w:r>
      <w:r w:rsidR="005A196D">
        <w:rPr>
          <w:rFonts w:ascii="Times New Roman" w:eastAsia="Times New Roman" w:hAnsi="Times New Roman" w:cs="Times New Roman"/>
          <w:b/>
          <w:color w:val="000000"/>
          <w:sz w:val="20"/>
          <w:szCs w:val="20"/>
        </w:rPr>
        <w:t>ереможцем</w:t>
      </w:r>
      <w:r>
        <w:rPr>
          <w:rFonts w:ascii="Times New Roman" w:eastAsia="Times New Roman" w:hAnsi="Times New Roman" w:cs="Times New Roman"/>
          <w:b/>
          <w:color w:val="000000"/>
          <w:sz w:val="20"/>
          <w:szCs w:val="20"/>
        </w:rPr>
        <w:t xml:space="preserve"> (фізичною особою чи фізичною особою</w:t>
      </w:r>
      <w:r>
        <w:rPr>
          <w:rFonts w:ascii="Times New Roman" w:eastAsia="Times New Roman" w:hAnsi="Times New Roman" w:cs="Times New Roman"/>
          <w:b/>
          <w:sz w:val="20"/>
          <w:szCs w:val="20"/>
        </w:rPr>
        <w:t xml:space="preserve"> </w:t>
      </w:r>
      <w:r w:rsidR="005A196D">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b/>
          <w:color w:val="000000"/>
          <w:sz w:val="20"/>
          <w:szCs w:val="20"/>
        </w:rPr>
        <w:t>підприємцем):</w:t>
      </w:r>
    </w:p>
    <w:tbl>
      <w:tblPr>
        <w:tblStyle w:val="ab"/>
        <w:tblW w:w="9619" w:type="dxa"/>
        <w:tblInd w:w="-100" w:type="dxa"/>
        <w:tblLayout w:type="fixed"/>
        <w:tblLook w:val="0400" w:firstRow="0" w:lastRow="0" w:firstColumn="0" w:lastColumn="0" w:noHBand="0" w:noVBand="1"/>
      </w:tblPr>
      <w:tblGrid>
        <w:gridCol w:w="587"/>
        <w:gridCol w:w="3898"/>
        <w:gridCol w:w="5134"/>
      </w:tblGrid>
      <w:tr w:rsidR="0080427D" w:rsidTr="00DD537B">
        <w:trPr>
          <w:trHeight w:val="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427D" w:rsidRDefault="00042E30" w:rsidP="005A196D">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0427D" w:rsidRDefault="00042E30" w:rsidP="005A196D">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427D" w:rsidRDefault="00042E30" w:rsidP="005A196D">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tc>
        <w:tc>
          <w:tcPr>
            <w:tcW w:w="5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427D" w:rsidRDefault="00042E30" w:rsidP="005A196D">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80427D" w:rsidTr="00DD537B">
        <w:trPr>
          <w:trHeight w:val="21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5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427D" w:rsidTr="00DD537B">
        <w:trPr>
          <w:trHeight w:val="170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513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80427D" w:rsidTr="008D084C">
        <w:trPr>
          <w:trHeight w:val="153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513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0427D" w:rsidRDefault="0080427D" w:rsidP="00C80B3F">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rPr>
            </w:pPr>
          </w:p>
        </w:tc>
      </w:tr>
      <w:tr w:rsidR="0080427D" w:rsidTr="00DD537B">
        <w:trPr>
          <w:trHeight w:val="258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5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0427D" w:rsidRPr="005A196D" w:rsidRDefault="00042E30" w:rsidP="005A196D">
      <w:pPr>
        <w:shd w:val="clear" w:color="auto" w:fill="FFFFFF"/>
        <w:spacing w:after="0" w:line="0" w:lineRule="atLeast"/>
        <w:jc w:val="center"/>
        <w:rPr>
          <w:rFonts w:ascii="Times New Roman" w:eastAsia="Times New Roman" w:hAnsi="Times New Roman" w:cs="Times New Roman"/>
          <w:sz w:val="20"/>
          <w:szCs w:val="20"/>
        </w:rPr>
      </w:pPr>
      <w:r w:rsidRPr="005A196D">
        <w:rPr>
          <w:rFonts w:ascii="Times New Roman" w:eastAsia="Times New Roman" w:hAnsi="Times New Roman" w:cs="Times New Roman"/>
          <w:b/>
          <w:i/>
          <w:sz w:val="20"/>
          <w:szCs w:val="20"/>
          <w:highlight w:val="white"/>
        </w:rPr>
        <w:t xml:space="preserve">Замовник не перевіряє переможця процедури закупівлі на відповідність підставі, визначеної пунктом 13 частини </w:t>
      </w:r>
      <w:r w:rsidR="005A196D" w:rsidRPr="005A196D">
        <w:rPr>
          <w:rFonts w:ascii="Times New Roman" w:eastAsia="Times New Roman" w:hAnsi="Times New Roman" w:cs="Times New Roman"/>
          <w:b/>
          <w:i/>
          <w:sz w:val="20"/>
          <w:szCs w:val="20"/>
          <w:highlight w:val="white"/>
        </w:rPr>
        <w:t>1</w:t>
      </w:r>
      <w:r w:rsidRPr="005A196D">
        <w:rPr>
          <w:rFonts w:ascii="Times New Roman" w:eastAsia="Times New Roman" w:hAnsi="Times New Roman" w:cs="Times New Roman"/>
          <w:b/>
          <w:i/>
          <w:sz w:val="20"/>
          <w:szCs w:val="20"/>
          <w:highlight w:val="white"/>
        </w:rPr>
        <w:t xml:space="preserve"> статті 17 Закону, та не вимагає від учасника процедури закупівлі/переможця процедури закупівлі підтвердження її відсутності.</w:t>
      </w:r>
    </w:p>
    <w:p w:rsidR="005A196D" w:rsidRDefault="005A196D" w:rsidP="00C80B3F">
      <w:pPr>
        <w:shd w:val="clear" w:color="auto" w:fill="FFFFFF"/>
        <w:spacing w:after="0" w:line="0" w:lineRule="atLeast"/>
        <w:rPr>
          <w:rFonts w:ascii="Times New Roman" w:eastAsia="Times New Roman" w:hAnsi="Times New Roman" w:cs="Times New Roman"/>
          <w:sz w:val="20"/>
          <w:szCs w:val="20"/>
        </w:rPr>
      </w:pPr>
    </w:p>
    <w:p w:rsidR="008D084C" w:rsidRDefault="008D084C" w:rsidP="005A196D">
      <w:pPr>
        <w:shd w:val="clear" w:color="auto" w:fill="FFFFFF"/>
        <w:spacing w:after="0" w:line="0" w:lineRule="atLeast"/>
        <w:ind w:firstLine="567"/>
        <w:rPr>
          <w:rFonts w:ascii="Times New Roman" w:eastAsia="Times New Roman" w:hAnsi="Times New Roman" w:cs="Times New Roman"/>
          <w:b/>
          <w:color w:val="000000"/>
          <w:sz w:val="20"/>
          <w:szCs w:val="20"/>
        </w:rPr>
      </w:pPr>
    </w:p>
    <w:p w:rsidR="008D084C" w:rsidRDefault="008D084C" w:rsidP="005A196D">
      <w:pPr>
        <w:shd w:val="clear" w:color="auto" w:fill="FFFFFF"/>
        <w:spacing w:after="0" w:line="0" w:lineRule="atLeast"/>
        <w:ind w:firstLine="567"/>
        <w:rPr>
          <w:rFonts w:ascii="Times New Roman" w:eastAsia="Times New Roman" w:hAnsi="Times New Roman" w:cs="Times New Roman"/>
          <w:b/>
          <w:color w:val="000000"/>
          <w:sz w:val="20"/>
          <w:szCs w:val="20"/>
        </w:rPr>
      </w:pPr>
    </w:p>
    <w:p w:rsidR="008D084C" w:rsidRDefault="008D084C" w:rsidP="005A196D">
      <w:pPr>
        <w:shd w:val="clear" w:color="auto" w:fill="FFFFFF"/>
        <w:spacing w:after="0" w:line="0" w:lineRule="atLeast"/>
        <w:ind w:firstLine="567"/>
        <w:rPr>
          <w:rFonts w:ascii="Times New Roman" w:eastAsia="Times New Roman" w:hAnsi="Times New Roman" w:cs="Times New Roman"/>
          <w:b/>
          <w:color w:val="000000"/>
          <w:sz w:val="20"/>
          <w:szCs w:val="20"/>
        </w:rPr>
      </w:pPr>
    </w:p>
    <w:p w:rsidR="008D084C" w:rsidRDefault="008D084C" w:rsidP="005A196D">
      <w:pPr>
        <w:shd w:val="clear" w:color="auto" w:fill="FFFFFF"/>
        <w:spacing w:after="0" w:line="0" w:lineRule="atLeast"/>
        <w:ind w:firstLine="567"/>
        <w:rPr>
          <w:rFonts w:ascii="Times New Roman" w:eastAsia="Times New Roman" w:hAnsi="Times New Roman" w:cs="Times New Roman"/>
          <w:b/>
          <w:color w:val="000000"/>
          <w:sz w:val="20"/>
          <w:szCs w:val="20"/>
        </w:rPr>
      </w:pPr>
    </w:p>
    <w:p w:rsidR="008D084C" w:rsidRDefault="008D084C" w:rsidP="005A196D">
      <w:pPr>
        <w:shd w:val="clear" w:color="auto" w:fill="FFFFFF"/>
        <w:spacing w:after="0" w:line="0" w:lineRule="atLeast"/>
        <w:ind w:firstLine="567"/>
        <w:rPr>
          <w:rFonts w:ascii="Times New Roman" w:eastAsia="Times New Roman" w:hAnsi="Times New Roman" w:cs="Times New Roman"/>
          <w:b/>
          <w:color w:val="000000"/>
          <w:sz w:val="20"/>
          <w:szCs w:val="20"/>
        </w:rPr>
      </w:pPr>
    </w:p>
    <w:p w:rsidR="008D084C" w:rsidRDefault="008D084C" w:rsidP="005A196D">
      <w:pPr>
        <w:shd w:val="clear" w:color="auto" w:fill="FFFFFF"/>
        <w:spacing w:after="0" w:line="0" w:lineRule="atLeast"/>
        <w:ind w:firstLine="567"/>
        <w:rPr>
          <w:rFonts w:ascii="Times New Roman" w:eastAsia="Times New Roman" w:hAnsi="Times New Roman" w:cs="Times New Roman"/>
          <w:b/>
          <w:color w:val="000000"/>
          <w:sz w:val="20"/>
          <w:szCs w:val="20"/>
        </w:rPr>
      </w:pPr>
    </w:p>
    <w:p w:rsidR="008D084C" w:rsidRDefault="008D084C" w:rsidP="005A196D">
      <w:pPr>
        <w:shd w:val="clear" w:color="auto" w:fill="FFFFFF"/>
        <w:spacing w:after="0" w:line="0" w:lineRule="atLeast"/>
        <w:ind w:firstLine="567"/>
        <w:rPr>
          <w:rFonts w:ascii="Times New Roman" w:eastAsia="Times New Roman" w:hAnsi="Times New Roman" w:cs="Times New Roman"/>
          <w:b/>
          <w:color w:val="000000"/>
          <w:sz w:val="20"/>
          <w:szCs w:val="20"/>
        </w:rPr>
      </w:pPr>
    </w:p>
    <w:p w:rsidR="008D084C" w:rsidRDefault="008D084C" w:rsidP="005A196D">
      <w:pPr>
        <w:shd w:val="clear" w:color="auto" w:fill="FFFFFF"/>
        <w:spacing w:after="0" w:line="0" w:lineRule="atLeast"/>
        <w:ind w:firstLine="567"/>
        <w:rPr>
          <w:rFonts w:ascii="Times New Roman" w:eastAsia="Times New Roman" w:hAnsi="Times New Roman" w:cs="Times New Roman"/>
          <w:b/>
          <w:color w:val="000000"/>
          <w:sz w:val="20"/>
          <w:szCs w:val="20"/>
        </w:rPr>
      </w:pPr>
    </w:p>
    <w:p w:rsidR="008D084C" w:rsidRDefault="008D084C" w:rsidP="005A196D">
      <w:pPr>
        <w:shd w:val="clear" w:color="auto" w:fill="FFFFFF"/>
        <w:spacing w:after="0" w:line="0" w:lineRule="atLeast"/>
        <w:ind w:firstLine="567"/>
        <w:rPr>
          <w:rFonts w:ascii="Times New Roman" w:eastAsia="Times New Roman" w:hAnsi="Times New Roman" w:cs="Times New Roman"/>
          <w:b/>
          <w:color w:val="000000"/>
          <w:sz w:val="20"/>
          <w:szCs w:val="20"/>
        </w:rPr>
      </w:pPr>
    </w:p>
    <w:p w:rsidR="008D084C" w:rsidRDefault="008D084C" w:rsidP="005A196D">
      <w:pPr>
        <w:shd w:val="clear" w:color="auto" w:fill="FFFFFF"/>
        <w:spacing w:after="0" w:line="0" w:lineRule="atLeast"/>
        <w:ind w:firstLine="567"/>
        <w:rPr>
          <w:rFonts w:ascii="Times New Roman" w:eastAsia="Times New Roman" w:hAnsi="Times New Roman" w:cs="Times New Roman"/>
          <w:b/>
          <w:color w:val="000000"/>
          <w:sz w:val="20"/>
          <w:szCs w:val="20"/>
        </w:rPr>
      </w:pPr>
    </w:p>
    <w:p w:rsidR="008D084C" w:rsidRDefault="008D084C" w:rsidP="005A196D">
      <w:pPr>
        <w:shd w:val="clear" w:color="auto" w:fill="FFFFFF"/>
        <w:spacing w:after="0" w:line="0" w:lineRule="atLeast"/>
        <w:ind w:firstLine="567"/>
        <w:rPr>
          <w:rFonts w:ascii="Times New Roman" w:eastAsia="Times New Roman" w:hAnsi="Times New Roman" w:cs="Times New Roman"/>
          <w:b/>
          <w:color w:val="000000"/>
          <w:sz w:val="20"/>
          <w:szCs w:val="20"/>
        </w:rPr>
      </w:pPr>
    </w:p>
    <w:p w:rsidR="008D084C" w:rsidRDefault="008D084C" w:rsidP="005A196D">
      <w:pPr>
        <w:shd w:val="clear" w:color="auto" w:fill="FFFFFF"/>
        <w:spacing w:after="0" w:line="0" w:lineRule="atLeast"/>
        <w:ind w:firstLine="567"/>
        <w:rPr>
          <w:rFonts w:ascii="Times New Roman" w:eastAsia="Times New Roman" w:hAnsi="Times New Roman" w:cs="Times New Roman"/>
          <w:b/>
          <w:color w:val="000000"/>
          <w:sz w:val="20"/>
          <w:szCs w:val="20"/>
        </w:rPr>
      </w:pPr>
    </w:p>
    <w:p w:rsidR="0080427D" w:rsidRDefault="00042E30" w:rsidP="005A196D">
      <w:pPr>
        <w:shd w:val="clear" w:color="auto" w:fill="FFFFFF"/>
        <w:spacing w:after="0" w:line="0" w:lineRule="atLeast"/>
        <w:ind w:firstLine="567"/>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b/>
          <w:color w:val="000000"/>
          <w:sz w:val="20"/>
          <w:szCs w:val="20"/>
        </w:rPr>
        <w:lastRenderedPageBreak/>
        <w:t>4. Інша інформація встановлена відповідно до законодавства (для У</w:t>
      </w:r>
      <w:r w:rsidR="005A196D">
        <w:rPr>
          <w:rFonts w:ascii="Times New Roman" w:eastAsia="Times New Roman" w:hAnsi="Times New Roman" w:cs="Times New Roman"/>
          <w:b/>
          <w:color w:val="000000"/>
          <w:sz w:val="20"/>
          <w:szCs w:val="20"/>
        </w:rPr>
        <w:t>часників</w:t>
      </w:r>
      <w:r>
        <w:rPr>
          <w:rFonts w:ascii="Times New Roman" w:eastAsia="Times New Roman" w:hAnsi="Times New Roman" w:cs="Times New Roman"/>
          <w:b/>
          <w:color w:val="000000"/>
          <w:sz w:val="20"/>
          <w:szCs w:val="20"/>
        </w:rPr>
        <w:t xml:space="preserve"> </w:t>
      </w:r>
      <w:r w:rsidR="005A196D">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w:t>
      </w:r>
      <w:r w:rsidR="005A196D">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b/>
          <w:color w:val="000000"/>
          <w:sz w:val="20"/>
          <w:szCs w:val="20"/>
        </w:rPr>
        <w:t>підприємців).</w:t>
      </w:r>
    </w:p>
    <w:tbl>
      <w:tblPr>
        <w:tblStyle w:val="ac"/>
        <w:tblW w:w="9619" w:type="dxa"/>
        <w:tblInd w:w="-100" w:type="dxa"/>
        <w:tblLayout w:type="fixed"/>
        <w:tblLook w:val="0400" w:firstRow="0" w:lastRow="0" w:firstColumn="0" w:lastColumn="0" w:noHBand="0" w:noVBand="1"/>
      </w:tblPr>
      <w:tblGrid>
        <w:gridCol w:w="400"/>
        <w:gridCol w:w="9219"/>
      </w:tblGrid>
      <w:tr w:rsidR="0080427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0427D" w:rsidRDefault="00042E30" w:rsidP="00C80B3F">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0427D" w:rsidTr="005A196D">
        <w:trPr>
          <w:trHeight w:val="53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5A196D">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005A196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80427D" w:rsidTr="005A196D">
        <w:trPr>
          <w:trHeight w:val="75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80427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80427D" w:rsidRDefault="00042E30" w:rsidP="005A196D">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005A196D">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color w:val="000000"/>
                <w:sz w:val="20"/>
                <w:szCs w:val="20"/>
              </w:rPr>
              <w:t>бенефіціарного</w:t>
            </w:r>
            <w:proofErr w:type="spellEnd"/>
            <w:r>
              <w:rPr>
                <w:rFonts w:ascii="Times New Roman" w:eastAsia="Times New Roman" w:hAnsi="Times New Roman" w:cs="Times New Roman"/>
                <w:i/>
                <w:color w:val="000000"/>
                <w:sz w:val="20"/>
                <w:szCs w:val="20"/>
              </w:rPr>
              <w:t xml:space="preserve"> власника зазначається в довідці лише учасниками </w:t>
            </w:r>
            <w:r w:rsidR="005A196D">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005A196D">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005A196D">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w:t>
            </w:r>
            <w:r w:rsidR="005A196D">
              <w:rPr>
                <w:rFonts w:ascii="Times New Roman" w:eastAsia="Times New Roman" w:hAnsi="Times New Roman" w:cs="Times New Roman"/>
                <w:i/>
                <w:color w:val="000000"/>
                <w:sz w:val="20"/>
                <w:szCs w:val="20"/>
              </w:rPr>
              <w:t>мців та громадських формувань».</w:t>
            </w:r>
          </w:p>
        </w:tc>
      </w:tr>
    </w:tbl>
    <w:p w:rsidR="0080427D" w:rsidRDefault="0080427D" w:rsidP="00C80B3F">
      <w:pPr>
        <w:shd w:val="clear" w:color="auto" w:fill="FFFFFF"/>
        <w:spacing w:after="0" w:line="0" w:lineRule="atLeast"/>
        <w:jc w:val="center"/>
        <w:rPr>
          <w:rFonts w:ascii="Times New Roman" w:eastAsia="Times New Roman" w:hAnsi="Times New Roman" w:cs="Times New Roman"/>
          <w:sz w:val="20"/>
          <w:szCs w:val="20"/>
        </w:rPr>
      </w:pPr>
    </w:p>
    <w:sectPr w:rsidR="0080427D" w:rsidSect="005A196D">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944D9"/>
    <w:multiLevelType w:val="multilevel"/>
    <w:tmpl w:val="FF5E77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D9054C0"/>
    <w:multiLevelType w:val="hybridMultilevel"/>
    <w:tmpl w:val="CED68A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0FC6378"/>
    <w:multiLevelType w:val="multilevel"/>
    <w:tmpl w:val="911C82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7D"/>
    <w:rsid w:val="00042E30"/>
    <w:rsid w:val="005A196D"/>
    <w:rsid w:val="00684666"/>
    <w:rsid w:val="0080427D"/>
    <w:rsid w:val="008D084C"/>
    <w:rsid w:val="00907B73"/>
    <w:rsid w:val="00C80B3F"/>
    <w:rsid w:val="00DD53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95B9A"/>
  <w15:docId w15:val="{E9BB5586-CA59-4677-A039-C0C9EE29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7709</Words>
  <Characters>4395</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Валерія</cp:lastModifiedBy>
  <cp:revision>3</cp:revision>
  <dcterms:created xsi:type="dcterms:W3CDTF">2022-11-02T14:00:00Z</dcterms:created>
  <dcterms:modified xsi:type="dcterms:W3CDTF">2022-11-28T17:54:00Z</dcterms:modified>
</cp:coreProperties>
</file>