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636F39E2" w:rsidR="00FC72A4" w:rsidRPr="004F4298" w:rsidRDefault="00802A04" w:rsidP="00AD08CB">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 xml:space="preserve">рішенням від </w:t>
            </w:r>
            <w:r w:rsidR="00AD08CB">
              <w:rPr>
                <w:rFonts w:ascii="Times New Roman" w:hAnsi="Times New Roman" w:cs="Times New Roman"/>
                <w:b/>
                <w:bCs/>
                <w:color w:val="auto"/>
                <w:sz w:val="24"/>
                <w:szCs w:val="24"/>
                <w:lang w:eastAsia="ar-SA"/>
              </w:rPr>
              <w:t>07 листопада</w:t>
            </w:r>
            <w:r w:rsidR="00FC72A4" w:rsidRPr="004F4298">
              <w:rPr>
                <w:rFonts w:ascii="Times New Roman" w:hAnsi="Times New Roman" w:cs="Times New Roman"/>
                <w:b/>
                <w:bCs/>
                <w:color w:val="auto"/>
                <w:sz w:val="24"/>
                <w:szCs w:val="24"/>
                <w:lang w:eastAsia="ar-SA"/>
              </w:rPr>
              <w:t xml:space="preserve"> 202</w:t>
            </w:r>
            <w:r w:rsidR="00B77D00" w:rsidRPr="004F4298">
              <w:rPr>
                <w:rFonts w:ascii="Times New Roman" w:hAnsi="Times New Roman" w:cs="Times New Roman"/>
                <w:b/>
                <w:bCs/>
                <w:color w:val="auto"/>
                <w:sz w:val="24"/>
                <w:szCs w:val="24"/>
                <w:lang w:eastAsia="ar-SA"/>
              </w:rPr>
              <w:t>3</w:t>
            </w:r>
            <w:r w:rsidR="00FC72A4" w:rsidRPr="004F4298">
              <w:rPr>
                <w:rFonts w:ascii="Times New Roman" w:hAnsi="Times New Roman" w:cs="Times New Roman"/>
                <w:b/>
                <w:bCs/>
                <w:color w:val="auto"/>
                <w:sz w:val="24"/>
                <w:szCs w:val="24"/>
                <w:lang w:eastAsia="ar-SA"/>
              </w:rPr>
              <w:t xml:space="preserve"> року</w:t>
            </w:r>
            <w:r w:rsidR="00103D45" w:rsidRPr="004F4298">
              <w:rPr>
                <w:rFonts w:ascii="Times New Roman" w:hAnsi="Times New Roman" w:cs="Times New Roman"/>
                <w:b/>
                <w:bCs/>
                <w:color w:val="auto"/>
                <w:sz w:val="24"/>
                <w:szCs w:val="24"/>
                <w:lang w:eastAsia="ar-SA"/>
              </w:rPr>
              <w:t xml:space="preserve"> №</w:t>
            </w:r>
            <w:r w:rsidR="00AD08CB">
              <w:rPr>
                <w:rFonts w:ascii="Times New Roman" w:hAnsi="Times New Roman" w:cs="Times New Roman"/>
                <w:b/>
                <w:bCs/>
                <w:color w:val="auto"/>
                <w:sz w:val="24"/>
                <w:szCs w:val="24"/>
                <w:lang w:eastAsia="ar-SA"/>
              </w:rPr>
              <w:t xml:space="preserve"> 107</w:t>
            </w:r>
            <w:r w:rsidR="00103D45" w:rsidRPr="004F4298">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EA0C09F" w14:textId="0FD9755B" w:rsidR="009877D4" w:rsidRDefault="000E6650" w:rsidP="0062346D">
      <w:pPr>
        <w:spacing w:line="240" w:lineRule="auto"/>
        <w:ind w:firstLine="539"/>
        <w:jc w:val="center"/>
        <w:rPr>
          <w:rFonts w:ascii="Times New Roman" w:hAnsi="Times New Roman" w:cs="Times New Roman"/>
          <w:b/>
          <w:sz w:val="50"/>
          <w:szCs w:val="50"/>
          <w:u w:val="single"/>
        </w:rPr>
      </w:pPr>
      <w:r w:rsidRPr="000E6650">
        <w:rPr>
          <w:rFonts w:ascii="Times New Roman" w:hAnsi="Times New Roman" w:cs="Times New Roman"/>
          <w:b/>
          <w:sz w:val="50"/>
          <w:szCs w:val="50"/>
          <w:u w:val="single"/>
        </w:rPr>
        <w:t>ДК 021:2015:09130000:9 Нафта і дистиляти  (ДК 021:2015 - 09134200-9 - Дизельне паливо)</w:t>
      </w:r>
    </w:p>
    <w:p w14:paraId="0854FFA3" w14:textId="03B647B5" w:rsidR="0062346D" w:rsidRDefault="0062346D" w:rsidP="0062346D">
      <w:pPr>
        <w:spacing w:line="240" w:lineRule="auto"/>
        <w:ind w:firstLine="539"/>
        <w:jc w:val="center"/>
        <w:rPr>
          <w:b/>
          <w:bCs/>
          <w:sz w:val="50"/>
          <w:szCs w:val="50"/>
          <w:u w:val="single"/>
        </w:rPr>
      </w:pPr>
      <w:r>
        <w:rPr>
          <w:rFonts w:ascii="Times New Roman" w:hAnsi="Times New Roman" w:cs="Times New Roman"/>
          <w:b/>
          <w:sz w:val="50"/>
          <w:szCs w:val="50"/>
          <w:u w:val="single"/>
        </w:rPr>
        <w:t>(</w:t>
      </w:r>
      <w:r w:rsidR="00B31097">
        <w:rPr>
          <w:rFonts w:ascii="Times New Roman" w:hAnsi="Times New Roman" w:cs="Times New Roman"/>
          <w:b/>
          <w:sz w:val="50"/>
          <w:szCs w:val="50"/>
          <w:u w:val="single"/>
        </w:rPr>
        <w:t>Дизельне паливо Євро 5</w:t>
      </w:r>
      <w:r>
        <w:rPr>
          <w:rFonts w:ascii="Times New Roman" w:hAnsi="Times New Roman" w:cs="Times New Roman"/>
          <w:b/>
          <w:sz w:val="50"/>
          <w:szCs w:val="50"/>
          <w:u w:val="single"/>
        </w:rPr>
        <w:t>)</w:t>
      </w:r>
    </w:p>
    <w:p w14:paraId="6413E0FE" w14:textId="77777777" w:rsidR="009B7B05" w:rsidRDefault="009B7B05"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2477E0E7" w14:textId="77777777" w:rsidR="000E6650" w:rsidRDefault="000E6650"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680C8DAB"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57BE4B39" w:rsidR="00EC5387" w:rsidRPr="00B77D00" w:rsidRDefault="000E6650" w:rsidP="002D0C5A">
            <w:pPr>
              <w:spacing w:line="240" w:lineRule="auto"/>
              <w:ind w:firstLine="539"/>
              <w:jc w:val="both"/>
              <w:rPr>
                <w:rFonts w:ascii="Times New Roman" w:hAnsi="Times New Roman" w:cs="Times New Roman"/>
                <w:color w:val="auto"/>
                <w:sz w:val="24"/>
                <w:szCs w:val="24"/>
              </w:rPr>
            </w:pPr>
            <w:r w:rsidRPr="000E6650">
              <w:rPr>
                <w:rFonts w:ascii="Times New Roman" w:hAnsi="Times New Roman" w:cs="Times New Roman"/>
                <w:sz w:val="24"/>
                <w:szCs w:val="24"/>
              </w:rPr>
              <w:t xml:space="preserve">ДК 021:2015:09130000:9 Нафта і дистиляти  (ДК 021:2015 - 09134200-9 - Дизельне паливо) </w:t>
            </w:r>
            <w:r w:rsidR="0062346D">
              <w:rPr>
                <w:rFonts w:ascii="Times New Roman" w:hAnsi="Times New Roman" w:cs="Times New Roman"/>
                <w:sz w:val="24"/>
                <w:szCs w:val="24"/>
              </w:rPr>
              <w:t>(</w:t>
            </w:r>
            <w:r w:rsidR="00D54A63" w:rsidRPr="00D54A63">
              <w:rPr>
                <w:rFonts w:ascii="Times New Roman" w:hAnsi="Times New Roman" w:cs="Times New Roman"/>
                <w:sz w:val="24"/>
                <w:szCs w:val="24"/>
              </w:rPr>
              <w:t>Дизельне паливо</w:t>
            </w:r>
            <w:r w:rsidR="00B31097">
              <w:rPr>
                <w:rFonts w:ascii="Times New Roman" w:hAnsi="Times New Roman" w:cs="Times New Roman"/>
                <w:sz w:val="24"/>
                <w:szCs w:val="24"/>
              </w:rPr>
              <w:t xml:space="preserve"> Євро 5</w:t>
            </w:r>
            <w:r w:rsidR="0062346D">
              <w:rPr>
                <w:rFonts w:ascii="Times New Roman" w:hAnsi="Times New Roman" w:cs="Times New Roman"/>
                <w:sz w:val="24"/>
                <w:szCs w:val="24"/>
              </w:rPr>
              <w:t>)</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647D4C0"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AD08CB" w:rsidRPr="00AD08CB">
              <w:rPr>
                <w:rFonts w:ascii="Times New Roman" w:hAnsi="Times New Roman" w:cs="Times New Roman"/>
                <w:sz w:val="24"/>
                <w:szCs w:val="24"/>
              </w:rPr>
              <w:t>73000, Україна, Херсонська область, місто Херсон, стаціонарна мережа автозаправних станцій (АЗС) та АЗС для заправки автотра</w:t>
            </w:r>
            <w:r w:rsidR="00AD08CB">
              <w:rPr>
                <w:rFonts w:ascii="Times New Roman" w:hAnsi="Times New Roman" w:cs="Times New Roman"/>
                <w:sz w:val="24"/>
                <w:szCs w:val="24"/>
              </w:rPr>
              <w:t>нспорту на території м. Херсона</w:t>
            </w:r>
            <w:r w:rsidR="00B31097" w:rsidRPr="00B31097">
              <w:rPr>
                <w:rFonts w:ascii="Times New Roman" w:hAnsi="Times New Roman" w:cs="Times New Roman"/>
                <w:sz w:val="24"/>
                <w:szCs w:val="24"/>
              </w:rPr>
              <w:t>.</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BE3D0E1" w14:textId="77777777" w:rsidR="009B7B05" w:rsidRDefault="00620FEB" w:rsidP="00FD6B09">
            <w:pPr>
              <w:spacing w:line="240" w:lineRule="auto"/>
              <w:ind w:firstLine="601"/>
              <w:jc w:val="both"/>
              <w:rPr>
                <w:rFonts w:ascii="Times New Roman" w:hAnsi="Times New Roman" w:cs="Times New Roman"/>
                <w:b/>
                <w:color w:val="auto"/>
                <w:sz w:val="24"/>
                <w:szCs w:val="24"/>
                <w:lang w:val="en-US"/>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00C6F91A" w14:textId="77777777" w:rsidTr="000E6650">
              <w:trPr>
                <w:trHeight w:val="556"/>
              </w:trPr>
              <w:tc>
                <w:tcPr>
                  <w:tcW w:w="408" w:type="dxa"/>
                  <w:shd w:val="clear" w:color="auto" w:fill="auto"/>
                </w:tcPr>
                <w:p w14:paraId="466B7C08" w14:textId="77777777" w:rsidR="00FD6B09" w:rsidRPr="00E7583C" w:rsidRDefault="00FD6B09" w:rsidP="00FD6B09">
                  <w:pPr>
                    <w:spacing w:line="240" w:lineRule="auto"/>
                    <w:jc w:val="center"/>
                    <w:rPr>
                      <w:rFonts w:ascii="Times New Roman" w:hAnsi="Times New Roman" w:cs="Times New Roman"/>
                      <w:b/>
                      <w:sz w:val="18"/>
                      <w:szCs w:val="18"/>
                    </w:rPr>
                  </w:pPr>
                  <w:bookmarkStart w:id="1" w:name="_Hlk135294377"/>
                  <w:r w:rsidRPr="00E7583C">
                    <w:rPr>
                      <w:rFonts w:ascii="Times New Roman" w:hAnsi="Times New Roman" w:cs="Times New Roman"/>
                      <w:b/>
                      <w:sz w:val="18"/>
                      <w:szCs w:val="18"/>
                    </w:rPr>
                    <w:t>№</w:t>
                  </w:r>
                </w:p>
                <w:p w14:paraId="24821AF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2E52652E"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2A0066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6C6B5569"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CB898B3"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FD6B09" w:rsidRPr="00E7583C" w14:paraId="6A4025D5" w14:textId="77777777" w:rsidTr="000E6650">
              <w:trPr>
                <w:trHeight w:val="483"/>
              </w:trPr>
              <w:tc>
                <w:tcPr>
                  <w:tcW w:w="408" w:type="dxa"/>
                  <w:shd w:val="clear" w:color="auto" w:fill="auto"/>
                  <w:noWrap/>
                </w:tcPr>
                <w:p w14:paraId="6C4F077A" w14:textId="77777777" w:rsidR="00FD6B09" w:rsidRPr="00E7583C" w:rsidRDefault="00FD6B09" w:rsidP="00FD6B09">
                  <w:pPr>
                    <w:spacing w:line="240" w:lineRule="auto"/>
                    <w:jc w:val="center"/>
                    <w:rPr>
                      <w:rFonts w:ascii="Times New Roman" w:hAnsi="Times New Roman" w:cs="Times New Roman"/>
                      <w:sz w:val="18"/>
                      <w:szCs w:val="18"/>
                    </w:rPr>
                  </w:pPr>
                  <w:r w:rsidRPr="00E7583C">
                    <w:rPr>
                      <w:rFonts w:ascii="Times New Roman" w:hAnsi="Times New Roman" w:cs="Times New Roman"/>
                      <w:sz w:val="18"/>
                      <w:szCs w:val="18"/>
                    </w:rPr>
                    <w:t>1.</w:t>
                  </w:r>
                </w:p>
              </w:tc>
              <w:tc>
                <w:tcPr>
                  <w:tcW w:w="2126" w:type="dxa"/>
                  <w:shd w:val="clear" w:color="auto" w:fill="auto"/>
                  <w:noWrap/>
                </w:tcPr>
                <w:p w14:paraId="2EDEB388" w14:textId="2D675BD7" w:rsidR="00FD6B09" w:rsidRPr="00E7583C" w:rsidRDefault="00D54A63" w:rsidP="00FD6B09">
                  <w:pPr>
                    <w:spacing w:line="240" w:lineRule="auto"/>
                    <w:rPr>
                      <w:rFonts w:ascii="Times New Roman" w:hAnsi="Times New Roman" w:cs="Times New Roman"/>
                      <w:sz w:val="18"/>
                      <w:szCs w:val="18"/>
                    </w:rPr>
                  </w:pPr>
                  <w:r w:rsidRPr="00D54A63">
                    <w:rPr>
                      <w:rFonts w:ascii="Times New Roman" w:hAnsi="Times New Roman" w:cs="Times New Roman"/>
                      <w:sz w:val="18"/>
                      <w:szCs w:val="18"/>
                    </w:rPr>
                    <w:t xml:space="preserve">Дизельне паливо Євро </w:t>
                  </w:r>
                  <w:r w:rsidR="00B31097">
                    <w:rPr>
                      <w:rFonts w:ascii="Times New Roman" w:hAnsi="Times New Roman" w:cs="Times New Roman"/>
                      <w:sz w:val="18"/>
                      <w:szCs w:val="18"/>
                    </w:rPr>
                    <w:t>5</w:t>
                  </w:r>
                </w:p>
              </w:tc>
              <w:tc>
                <w:tcPr>
                  <w:tcW w:w="1275" w:type="dxa"/>
                  <w:shd w:val="clear" w:color="auto" w:fill="auto"/>
                </w:tcPr>
                <w:p w14:paraId="26349BDB" w14:textId="18E2BB1E" w:rsidR="00FD6B09" w:rsidRPr="00E7583C" w:rsidRDefault="000E6650" w:rsidP="00087BF7">
                  <w:pPr>
                    <w:spacing w:line="240" w:lineRule="auto"/>
                    <w:jc w:val="center"/>
                    <w:rPr>
                      <w:rFonts w:ascii="Times New Roman" w:hAnsi="Times New Roman" w:cs="Times New Roman"/>
                      <w:sz w:val="18"/>
                      <w:szCs w:val="18"/>
                    </w:rPr>
                  </w:pPr>
                  <w:r w:rsidRPr="000E6650">
                    <w:rPr>
                      <w:rFonts w:ascii="Times New Roman" w:hAnsi="Times New Roman" w:cs="Times New Roman"/>
                      <w:sz w:val="18"/>
                      <w:szCs w:val="18"/>
                    </w:rPr>
                    <w:t>ДК 021:2015 - 09134200-9 - Дизельне паливо</w:t>
                  </w:r>
                </w:p>
              </w:tc>
              <w:tc>
                <w:tcPr>
                  <w:tcW w:w="993" w:type="dxa"/>
                  <w:shd w:val="clear" w:color="auto" w:fill="auto"/>
                </w:tcPr>
                <w:p w14:paraId="4B4BF9CC" w14:textId="70199A36" w:rsidR="00FD6B09" w:rsidRPr="00E7583C" w:rsidRDefault="000E6650" w:rsidP="00FD6B09">
                  <w:pPr>
                    <w:spacing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літри</w:t>
                  </w:r>
                </w:p>
              </w:tc>
              <w:tc>
                <w:tcPr>
                  <w:tcW w:w="1134" w:type="dxa"/>
                  <w:shd w:val="clear" w:color="auto" w:fill="auto"/>
                </w:tcPr>
                <w:p w14:paraId="3CBAEDC3" w14:textId="647DDACD" w:rsidR="00FD6B09" w:rsidRPr="00E7583C" w:rsidRDefault="00D54A63" w:rsidP="00FD6B09">
                  <w:pPr>
                    <w:jc w:val="center"/>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700</w:t>
                  </w:r>
                </w:p>
              </w:tc>
            </w:tr>
            <w:bookmarkEnd w:id="1"/>
          </w:tbl>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36B96ED1" w:rsidR="000446E7" w:rsidRPr="009877D4" w:rsidRDefault="000E6650" w:rsidP="00DE6350">
            <w:pPr>
              <w:spacing w:line="240" w:lineRule="auto"/>
              <w:ind w:firstLine="601"/>
              <w:jc w:val="both"/>
              <w:rPr>
                <w:rFonts w:ascii="Times New Roman" w:hAnsi="Times New Roman" w:cs="Times New Roman"/>
                <w:sz w:val="24"/>
                <w:szCs w:val="24"/>
              </w:rPr>
            </w:pPr>
            <w:r w:rsidRPr="000E6650">
              <w:rPr>
                <w:rFonts w:ascii="Times New Roman" w:hAnsi="Times New Roman" w:cs="Times New Roman"/>
                <w:sz w:val="24"/>
                <w:szCs w:val="24"/>
              </w:rPr>
              <w:t>протягом 2023 року, до 31.12.2023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w:t>
            </w:r>
            <w:r w:rsidRPr="00F66C65">
              <w:rPr>
                <w:lang w:val="uk-UA"/>
              </w:rPr>
              <w:lastRenderedPageBreak/>
              <w:t>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w:t>
            </w:r>
            <w:r w:rsidRPr="00DE0837">
              <w:rPr>
                <w:lang w:val="uk-UA"/>
              </w:rPr>
              <w:lastRenderedPageBreak/>
              <w:t xml:space="preserve">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w:t>
            </w:r>
            <w:r w:rsidR="008821E4" w:rsidRPr="008821E4">
              <w:rPr>
                <w:lang w:val="uk-UA"/>
              </w:rPr>
              <w:lastRenderedPageBreak/>
              <w:t xml:space="preserve">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 xml:space="preserve">стання) з боку </w:t>
            </w:r>
            <w:r w:rsidR="0066663E" w:rsidRPr="00103D45">
              <w:rPr>
                <w:rFonts w:ascii="Times New Roman" w:hAnsi="Times New Roman" w:cs="Times New Roman"/>
                <w:color w:val="auto"/>
                <w:sz w:val="24"/>
                <w:szCs w:val="24"/>
                <w:lang w:val="uk-UA"/>
              </w:rPr>
              <w:lastRenderedPageBreak/>
              <w:t>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rsidR="00372564" w:rsidRPr="00DE0837">
              <w:rPr>
                <w:lang w:val="uk-UA"/>
              </w:rPr>
              <w:lastRenderedPageBreak/>
              <w:t>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2" w:name="n1479"/>
            <w:bookmarkEnd w:id="2"/>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3" w:name="n1480"/>
            <w:bookmarkEnd w:id="3"/>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6" w:name="n815"/>
            <w:bookmarkEnd w:id="6"/>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w:t>
            </w:r>
            <w:r w:rsidRPr="00DE0837">
              <w:rPr>
                <w:rFonts w:ascii="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7" w:name="n1473"/>
            <w:bookmarkEnd w:id="7"/>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 xml:space="preserve">До закінчення зазначеного строку замовник має право вимагати від учасників процедури закупівлі </w:t>
            </w:r>
            <w:r w:rsidR="004B0D9F" w:rsidRPr="00154F19">
              <w:lastRenderedPageBreak/>
              <w:t>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xml:space="preserve">, крім випадків, коли доступ </w:t>
            </w:r>
            <w:r w:rsidRPr="002E411A">
              <w:rPr>
                <w:lang w:val="uk-UA"/>
              </w:rPr>
              <w:lastRenderedPageBreak/>
              <w:t>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8" w:name="n399"/>
            <w:bookmarkEnd w:id="8"/>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110FB49B" w:rsidR="00BA1066" w:rsidRPr="00BA1066" w:rsidRDefault="00BA1066" w:rsidP="00BA1066">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3ADC518C" w:rsidR="00660F96" w:rsidRPr="00DA704F" w:rsidRDefault="00660F96" w:rsidP="000853EE">
            <w:pPr>
              <w:spacing w:line="240" w:lineRule="auto"/>
              <w:ind w:firstLine="601"/>
              <w:jc w:val="both"/>
              <w:rPr>
                <w:rFonts w:ascii="Times New Roman" w:hAnsi="Times New Roman" w:cs="Times New Roman"/>
                <w:color w:val="auto"/>
                <w:sz w:val="24"/>
                <w:szCs w:val="24"/>
              </w:rPr>
            </w:pPr>
            <w:r w:rsidRPr="00DA704F">
              <w:rPr>
                <w:rFonts w:ascii="Times New Roman" w:hAnsi="Times New Roman" w:cs="Times New Roman"/>
                <w:color w:val="auto"/>
                <w:sz w:val="24"/>
                <w:szCs w:val="24"/>
              </w:rPr>
              <w:t xml:space="preserve">1.1.Кінцевий строк подання тендерних пропозицій </w:t>
            </w:r>
            <w:r w:rsidR="00AD08CB">
              <w:rPr>
                <w:rFonts w:ascii="Times New Roman" w:hAnsi="Times New Roman" w:cs="Times New Roman"/>
                <w:b/>
                <w:color w:val="auto"/>
                <w:sz w:val="24"/>
                <w:szCs w:val="24"/>
                <w:lang w:val="ru-RU"/>
              </w:rPr>
              <w:t>15</w:t>
            </w:r>
            <w:r w:rsidR="00B31097">
              <w:rPr>
                <w:rFonts w:ascii="Times New Roman" w:hAnsi="Times New Roman" w:cs="Times New Roman"/>
                <w:b/>
                <w:color w:val="auto"/>
                <w:sz w:val="24"/>
                <w:szCs w:val="24"/>
              </w:rPr>
              <w:t>.11.</w:t>
            </w:r>
            <w:r w:rsidR="00103D45" w:rsidRPr="00DF16A1">
              <w:rPr>
                <w:rFonts w:ascii="Times New Roman" w:hAnsi="Times New Roman" w:cs="Times New Roman"/>
                <w:b/>
                <w:color w:val="auto"/>
                <w:sz w:val="24"/>
                <w:szCs w:val="24"/>
              </w:rPr>
              <w:t>2023 до 12-00</w:t>
            </w:r>
            <w:r w:rsidR="00E00F9E" w:rsidRPr="00DF16A1">
              <w:rPr>
                <w:rFonts w:ascii="Times New Roman" w:hAnsi="Times New Roman" w:cs="Times New Roman"/>
                <w:color w:val="auto"/>
                <w:sz w:val="24"/>
                <w:szCs w:val="24"/>
              </w:rPr>
              <w:t>.</w:t>
            </w:r>
          </w:p>
          <w:p w14:paraId="446B5F1A" w14:textId="45C9ACE7" w:rsidR="00D97D81" w:rsidRPr="008C1356" w:rsidRDefault="00D97D81" w:rsidP="000853EE">
            <w:pPr>
              <w:spacing w:line="240" w:lineRule="auto"/>
              <w:ind w:firstLine="601"/>
              <w:jc w:val="both"/>
              <w:rPr>
                <w:rFonts w:ascii="Times New Roman" w:hAnsi="Times New Roman" w:cs="Times New Roman"/>
                <w:b/>
                <w:color w:val="auto"/>
                <w:sz w:val="24"/>
                <w:szCs w:val="24"/>
              </w:rPr>
            </w:pPr>
            <w:r w:rsidRPr="00DA704F">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DA704F">
              <w:rPr>
                <w:rFonts w:ascii="Times New Roman" w:hAnsi="Times New Roman" w:cs="Times New Roman"/>
                <w:color w:val="auto"/>
                <w:sz w:val="24"/>
                <w:szCs w:val="24"/>
              </w:rPr>
              <w:t xml:space="preserve">д очікуваної </w:t>
            </w:r>
            <w:r w:rsidR="00D276B8" w:rsidRPr="00DF16A1">
              <w:rPr>
                <w:rFonts w:ascii="Times New Roman" w:hAnsi="Times New Roman" w:cs="Times New Roman"/>
                <w:color w:val="auto"/>
                <w:sz w:val="24"/>
                <w:szCs w:val="24"/>
              </w:rPr>
              <w:t xml:space="preserve">вартості закупівлі – </w:t>
            </w:r>
            <w:r w:rsidR="00D54A63">
              <w:rPr>
                <w:rFonts w:ascii="Times New Roman" w:hAnsi="Times New Roman" w:cs="Times New Roman"/>
                <w:b/>
                <w:color w:val="auto"/>
                <w:sz w:val="24"/>
                <w:szCs w:val="24"/>
              </w:rPr>
              <w:t>196,00</w:t>
            </w:r>
            <w:r w:rsidR="00D276B8" w:rsidRPr="00DF16A1">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DE0837">
              <w:t>1.</w:t>
            </w:r>
            <w:r w:rsidR="00844483">
              <w:t>2</w:t>
            </w:r>
            <w:r w:rsidRPr="00DE0837">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lastRenderedPageBreak/>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676938A6" w:rsidR="00B05A58" w:rsidRDefault="00B05A58" w:rsidP="005D1581">
            <w:pPr>
              <w:pStyle w:val="a7"/>
              <w:spacing w:before="0" w:after="0"/>
              <w:ind w:firstLine="601"/>
              <w:jc w:val="both"/>
              <w:rPr>
                <w:lang w:val="uk-UA"/>
              </w:rPr>
            </w:pPr>
            <w:r w:rsidRPr="00B05A58">
              <w:rPr>
                <w:lang w:val="uk-UA"/>
              </w:rPr>
              <w:t xml:space="preserve">Замовник розглядає таку тендерну пропозицію відповідно </w:t>
            </w:r>
            <w:proofErr w:type="spellStart"/>
            <w:r w:rsidR="006721EB">
              <w:rPr>
                <w:lang w:val="uk-UA"/>
              </w:rPr>
              <w:t>вра</w:t>
            </w:r>
            <w:proofErr w:type="spellEnd"/>
            <w:r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lang w:val="uk-UA"/>
              </w:rPr>
              <w:t>О</w:t>
            </w:r>
            <w:r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Pr>
                <w:lang w:val="uk-UA"/>
              </w:rPr>
              <w:t xml:space="preserve">36 Особливостей </w:t>
            </w:r>
            <w:r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У разі застосування критерію оцінки вартості життєвого циклу всі його складові не повинні містити </w:t>
            </w:r>
            <w:r w:rsidRPr="00511A4E">
              <w:rPr>
                <w:color w:val="000000" w:themeColor="text1"/>
                <w:shd w:val="clear" w:color="auto" w:fill="FFFFFF"/>
                <w:lang w:val="uk-UA"/>
              </w:rPr>
              <w:lastRenderedPageBreak/>
              <w:t>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77777777"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w:t>
            </w:r>
            <w:r w:rsidRPr="00DE0837">
              <w:lastRenderedPageBreak/>
              <w:t>якої передбачені законодавством та яку замовник вважає за необхідне включити до тендерної документації.</w:t>
            </w:r>
          </w:p>
          <w:p w14:paraId="15EDFE47" w14:textId="216FAABB" w:rsidR="00FC3F6D" w:rsidRPr="004800FD" w:rsidRDefault="009711DD" w:rsidP="00FC3F6D">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FC3F6D" w:rsidRPr="00FC3F6D">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C3F6D" w:rsidRPr="00FC3F6D">
              <w:rPr>
                <w:lang w:val="uk-UA"/>
              </w:rPr>
              <w:t>закупівель</w:t>
            </w:r>
            <w:proofErr w:type="spellEnd"/>
            <w:r w:rsidR="00FC3F6D" w:rsidRPr="00FC3F6D">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77777777"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lastRenderedPageBreak/>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w:t>
            </w:r>
            <w:r w:rsidRPr="000E56F9">
              <w:rPr>
                <w:lang w:val="uk-UA"/>
              </w:rPr>
              <w:lastRenderedPageBreak/>
              <w:t xml:space="preserve">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0E56F9">
              <w:rPr>
                <w:lang w:val="uk-UA"/>
              </w:rPr>
              <w:lastRenderedPageBreak/>
              <w:t>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632631">
              <w:rPr>
                <w:lang w:val="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3" w:name="n1478"/>
            <w:bookmarkEnd w:id="23"/>
          </w:p>
          <w:p w14:paraId="40119999" w14:textId="1B7391C2" w:rsidR="00437326" w:rsidRPr="00632631" w:rsidRDefault="00AE7C73" w:rsidP="000C3817">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1C253503"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632631">
              <w:rPr>
                <w:rFonts w:ascii="Times New Roman" w:hAnsi="Times New Roman" w:cs="Times New Roman"/>
                <w:color w:val="auto"/>
                <w:sz w:val="24"/>
                <w:szCs w:val="24"/>
              </w:rPr>
              <w:t>3.</w:t>
            </w:r>
            <w:r w:rsidR="00B15BEC" w:rsidRPr="00632631">
              <w:rPr>
                <w:rFonts w:ascii="Times New Roman" w:hAnsi="Times New Roman" w:cs="Times New Roman"/>
                <w:color w:val="auto"/>
                <w:sz w:val="24"/>
                <w:szCs w:val="24"/>
              </w:rPr>
              <w:t>3</w:t>
            </w:r>
            <w:r w:rsidRPr="00632631">
              <w:rPr>
                <w:rFonts w:ascii="Times New Roman" w:hAnsi="Times New Roman" w:cs="Times New Roman"/>
                <w:color w:val="auto"/>
                <w:sz w:val="24"/>
                <w:szCs w:val="24"/>
              </w:rPr>
              <w:t xml:space="preserve">. </w:t>
            </w:r>
            <w:r w:rsidR="000C3817" w:rsidRPr="00632631">
              <w:rPr>
                <w:rFonts w:ascii="Times New Roman" w:hAnsi="Times New Roman" w:cs="Times New Roman"/>
                <w:color w:val="auto"/>
                <w:sz w:val="24"/>
                <w:szCs w:val="24"/>
              </w:rPr>
              <w:t>У разі відмови переможця процедури</w:t>
            </w:r>
            <w:r w:rsidR="000C3817" w:rsidRPr="000C3817">
              <w:rPr>
                <w:rFonts w:ascii="Times New Roman" w:hAnsi="Times New Roman" w:cs="Times New Roman"/>
                <w:color w:val="auto"/>
                <w:sz w:val="24"/>
                <w:szCs w:val="24"/>
              </w:rPr>
              <w:t xml:space="preserve"> закупівлі від підписання договору про закупівлю відповідно до вимог тендерної документації, </w:t>
            </w:r>
            <w:proofErr w:type="spellStart"/>
            <w:r w:rsidR="000C3817" w:rsidRPr="000C3817">
              <w:rPr>
                <w:rFonts w:ascii="Times New Roman" w:hAnsi="Times New Roman" w:cs="Times New Roman"/>
                <w:color w:val="auto"/>
                <w:sz w:val="24"/>
                <w:szCs w:val="24"/>
              </w:rPr>
              <w:t>неукладення</w:t>
            </w:r>
            <w:proofErr w:type="spellEnd"/>
            <w:r w:rsidR="000C3817" w:rsidRPr="000C3817">
              <w:rPr>
                <w:rFonts w:ascii="Times New Roman" w:hAnsi="Times New Roman" w:cs="Times New Roman"/>
                <w:color w:val="auto"/>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273302">
              <w:rPr>
                <w:rFonts w:ascii="Times New Roman" w:hAnsi="Times New Roman" w:cs="Times New Roman"/>
                <w:color w:val="auto"/>
                <w:sz w:val="24"/>
                <w:szCs w:val="24"/>
              </w:rPr>
              <w:t xml:space="preserve"> 33 Закону</w:t>
            </w:r>
            <w:r w:rsidR="00573090">
              <w:rPr>
                <w:rFonts w:ascii="Times New Roman" w:hAnsi="Times New Roman" w:cs="Times New Roman"/>
                <w:color w:val="auto"/>
                <w:sz w:val="24"/>
                <w:szCs w:val="24"/>
              </w:rPr>
              <w:t>.</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lastRenderedPageBreak/>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lastRenderedPageBreak/>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5F61B851"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2631">
              <w:t>пропорційно</w:t>
            </w:r>
            <w:proofErr w:type="spellEnd"/>
            <w:r w:rsidRPr="00632631">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8E287" w14:textId="77777777" w:rsidR="00735849" w:rsidRPr="00632631" w:rsidRDefault="00735849" w:rsidP="00735849">
            <w:pPr>
              <w:pStyle w:val="rvps2"/>
              <w:shd w:val="clear" w:color="auto" w:fill="FFFFFF"/>
              <w:spacing w:before="0" w:beforeAutospacing="0" w:after="0" w:afterAutospacing="0"/>
              <w:ind w:firstLine="601"/>
              <w:jc w:val="both"/>
            </w:pPr>
            <w:r w:rsidRPr="00632631">
              <w:t>3)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77777777" w:rsidR="00735849" w:rsidRPr="00632631" w:rsidRDefault="00735849" w:rsidP="00735849">
            <w:pPr>
              <w:pStyle w:val="rvps2"/>
              <w:shd w:val="clear" w:color="auto" w:fill="FFFFFF"/>
              <w:spacing w:before="0" w:beforeAutospacing="0" w:after="0" w:afterAutospacing="0"/>
              <w:ind w:firstLine="601"/>
              <w:jc w:val="both"/>
            </w:pPr>
            <w:r w:rsidRPr="0063263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77777777" w:rsidR="00735849" w:rsidRPr="00632631" w:rsidRDefault="00735849" w:rsidP="00735849">
            <w:pPr>
              <w:pStyle w:val="rvps2"/>
              <w:shd w:val="clear" w:color="auto" w:fill="FFFFFF"/>
              <w:spacing w:before="0" w:beforeAutospacing="0" w:after="0" w:afterAutospacing="0"/>
              <w:ind w:firstLine="601"/>
              <w:jc w:val="both"/>
            </w:pPr>
            <w:r w:rsidRPr="00632631">
              <w:t>5) погодження зміни ціни в договорі про закупівлю в бік зменшення (без зміни кількості (обсягу) та якості товарів, робіт і послуг);</w:t>
            </w:r>
          </w:p>
          <w:p w14:paraId="4A25F9F8" w14:textId="77777777" w:rsidR="00735849" w:rsidRPr="00632631" w:rsidRDefault="00735849" w:rsidP="00735849">
            <w:pPr>
              <w:pStyle w:val="rvps2"/>
              <w:shd w:val="clear" w:color="auto" w:fill="FFFFFF"/>
              <w:spacing w:before="0" w:beforeAutospacing="0" w:after="0" w:afterAutospacing="0"/>
              <w:ind w:firstLine="601"/>
              <w:jc w:val="both"/>
            </w:pPr>
            <w:r w:rsidRPr="00632631">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2631">
              <w:t>пропорційно</w:t>
            </w:r>
            <w:proofErr w:type="spellEnd"/>
            <w:r w:rsidRPr="00632631">
              <w:t xml:space="preserve"> до зміни таких ставок та/або пільг з оподаткування, а також у зв’язку із зміною системи оподаткування </w:t>
            </w:r>
            <w:proofErr w:type="spellStart"/>
            <w:r w:rsidRPr="00632631">
              <w:t>пропорційно</w:t>
            </w:r>
            <w:proofErr w:type="spellEnd"/>
            <w:r w:rsidRPr="00632631">
              <w:t xml:space="preserve"> до зміни податкового навантаження внаслідок зміни системи оподаткування;</w:t>
            </w:r>
          </w:p>
          <w:p w14:paraId="2DF36F5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2631">
              <w:t>Platts</w:t>
            </w:r>
            <w:proofErr w:type="spellEnd"/>
            <w:r w:rsidRPr="006326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2F2B9C" w14:textId="695CF764" w:rsidR="00735849" w:rsidRPr="00632631" w:rsidRDefault="00735849" w:rsidP="00735849">
            <w:pPr>
              <w:pStyle w:val="rvps2"/>
              <w:shd w:val="clear" w:color="auto" w:fill="FFFFFF"/>
              <w:spacing w:before="0" w:beforeAutospacing="0" w:after="0" w:afterAutospacing="0"/>
              <w:ind w:firstLine="601"/>
              <w:jc w:val="both"/>
            </w:pPr>
            <w:r w:rsidRPr="00632631">
              <w:t xml:space="preserve">8) зміни умов у зв’язку із застосуванням положень частини шостої статті 41 Закону. </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4B3D02ED" w14:textId="2769A774" w:rsidR="007C61FF" w:rsidRDefault="00876171" w:rsidP="007C61FF">
            <w:pPr>
              <w:spacing w:line="240" w:lineRule="auto"/>
              <w:ind w:firstLine="601"/>
              <w:jc w:val="both"/>
              <w:rPr>
                <w:rFonts w:ascii="Times New Roman" w:hAnsi="Times New Roman" w:cs="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511A4E" w:rsidRPr="00511A4E">
              <w:rPr>
                <w:rFonts w:ascii="Times New Roman" w:hAnsi="Times New Roman" w:cs="Times New Roman"/>
                <w:sz w:val="24"/>
                <w:szCs w:val="24"/>
              </w:rPr>
              <w:t xml:space="preserve">ДК 021:2015:09130000:9 Нафта і дистиляти  </w:t>
            </w:r>
            <w:r w:rsidR="004A10B5" w:rsidRPr="004A10B5">
              <w:rPr>
                <w:rFonts w:ascii="Times New Roman" w:hAnsi="Times New Roman" w:cs="Times New Roman"/>
                <w:sz w:val="24"/>
                <w:szCs w:val="24"/>
              </w:rPr>
              <w:t>(</w:t>
            </w:r>
            <w:r w:rsidR="00511A4E" w:rsidRPr="00511A4E">
              <w:rPr>
                <w:rFonts w:ascii="Times New Roman" w:hAnsi="Times New Roman" w:cs="Times New Roman"/>
                <w:sz w:val="24"/>
                <w:szCs w:val="24"/>
              </w:rPr>
              <w:t>ДК 021:2015 - 09134200-9 - Дизельне паливо</w:t>
            </w:r>
            <w:r w:rsidR="004A10B5" w:rsidRPr="004A10B5">
              <w:rPr>
                <w:rFonts w:ascii="Times New Roman" w:hAnsi="Times New Roman" w:cs="Times New Roman"/>
                <w:sz w:val="24"/>
                <w:szCs w:val="24"/>
              </w:rPr>
              <w:t>) (</w:t>
            </w:r>
            <w:r w:rsidR="00B31097">
              <w:rPr>
                <w:rFonts w:ascii="Times New Roman" w:hAnsi="Times New Roman" w:cs="Times New Roman"/>
                <w:sz w:val="24"/>
                <w:szCs w:val="24"/>
              </w:rPr>
              <w:t>Дизельне паливо Євро 5</w:t>
            </w:r>
            <w:r w:rsidR="004A10B5" w:rsidRPr="004A10B5">
              <w:rPr>
                <w:rFonts w:ascii="Times New Roman" w:hAnsi="Times New Roman" w:cs="Times New Roman"/>
                <w:sz w:val="24"/>
                <w:szCs w:val="24"/>
              </w:rPr>
              <w:t xml:space="preserve">) </w:t>
            </w:r>
          </w:p>
          <w:p w14:paraId="0AA6B229" w14:textId="77777777" w:rsidR="004A10B5" w:rsidRPr="00632631" w:rsidRDefault="004A10B5" w:rsidP="007C61FF">
            <w:pPr>
              <w:spacing w:line="240" w:lineRule="auto"/>
              <w:ind w:firstLine="601"/>
              <w:jc w:val="both"/>
              <w:rPr>
                <w:rFonts w:ascii="Times New Roman" w:hAnsi="Times New Roman" w:cs="Times New Roman"/>
                <w:sz w:val="24"/>
                <w:szCs w:val="24"/>
              </w:rPr>
            </w:pPr>
          </w:p>
          <w:p w14:paraId="6AB1A764" w14:textId="32B7962F"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170E372B" w14:textId="77777777" w:rsidTr="000E6650">
              <w:trPr>
                <w:trHeight w:val="556"/>
              </w:trPr>
              <w:tc>
                <w:tcPr>
                  <w:tcW w:w="408" w:type="dxa"/>
                  <w:shd w:val="clear" w:color="auto" w:fill="auto"/>
                </w:tcPr>
                <w:p w14:paraId="3A7108A0"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1D64AB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3A1640BA"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02BDE6C2"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4A4A4305"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1DF9E68B"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511A4E" w:rsidRPr="00E7583C" w14:paraId="5BCC5F0B" w14:textId="77777777" w:rsidTr="006237EE">
              <w:trPr>
                <w:trHeight w:val="483"/>
              </w:trPr>
              <w:tc>
                <w:tcPr>
                  <w:tcW w:w="408" w:type="dxa"/>
                  <w:shd w:val="clear" w:color="auto" w:fill="auto"/>
                  <w:noWrap/>
                </w:tcPr>
                <w:p w14:paraId="176729D7" w14:textId="77777777" w:rsidR="00511A4E" w:rsidRPr="00E7583C" w:rsidRDefault="00511A4E" w:rsidP="00511A4E">
                  <w:pPr>
                    <w:spacing w:line="240" w:lineRule="auto"/>
                    <w:jc w:val="center"/>
                    <w:rPr>
                      <w:rFonts w:ascii="Times New Roman" w:hAnsi="Times New Roman" w:cs="Times New Roman"/>
                      <w:sz w:val="18"/>
                      <w:szCs w:val="18"/>
                    </w:rPr>
                  </w:pPr>
                  <w:r w:rsidRPr="00E7583C">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noWrap/>
                </w:tcPr>
                <w:p w14:paraId="6BBCDFF0" w14:textId="79830724" w:rsidR="00511A4E" w:rsidRPr="00511A4E" w:rsidRDefault="00D54A63" w:rsidP="00511A4E">
                  <w:pPr>
                    <w:spacing w:line="240" w:lineRule="auto"/>
                    <w:rPr>
                      <w:rFonts w:ascii="Times New Roman" w:hAnsi="Times New Roman" w:cs="Times New Roman"/>
                      <w:sz w:val="20"/>
                      <w:szCs w:val="20"/>
                    </w:rPr>
                  </w:pPr>
                  <w:r w:rsidRPr="00D54A63">
                    <w:rPr>
                      <w:rFonts w:ascii="Times New Roman" w:hAnsi="Times New Roman" w:cs="Times New Roman"/>
                      <w:sz w:val="20"/>
                      <w:szCs w:val="20"/>
                    </w:rPr>
                    <w:t xml:space="preserve">Дизельне паливо Євро </w:t>
                  </w:r>
                  <w:r w:rsidR="00B31097">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14:paraId="29A01E86" w14:textId="7175CB04" w:rsidR="00511A4E" w:rsidRPr="00511A4E" w:rsidRDefault="00511A4E" w:rsidP="00511A4E">
                  <w:pPr>
                    <w:spacing w:line="240" w:lineRule="auto"/>
                    <w:jc w:val="center"/>
                    <w:rPr>
                      <w:rFonts w:ascii="Times New Roman" w:hAnsi="Times New Roman" w:cs="Times New Roman"/>
                      <w:sz w:val="18"/>
                      <w:szCs w:val="18"/>
                    </w:rPr>
                  </w:pPr>
                  <w:r w:rsidRPr="00511A4E">
                    <w:rPr>
                      <w:rFonts w:ascii="Times New Roman" w:hAnsi="Times New Roman" w:cs="Times New Roman"/>
                      <w:sz w:val="18"/>
                      <w:szCs w:val="18"/>
                    </w:rPr>
                    <w:t>ДК 021:2015 - 09134200-9 - Дизельне паливо</w:t>
                  </w:r>
                </w:p>
              </w:tc>
              <w:tc>
                <w:tcPr>
                  <w:tcW w:w="993" w:type="dxa"/>
                  <w:tcBorders>
                    <w:top w:val="single" w:sz="4" w:space="0" w:color="auto"/>
                    <w:left w:val="single" w:sz="4" w:space="0" w:color="auto"/>
                    <w:bottom w:val="single" w:sz="4" w:space="0" w:color="auto"/>
                    <w:right w:val="single" w:sz="4" w:space="0" w:color="auto"/>
                  </w:tcBorders>
                </w:tcPr>
                <w:p w14:paraId="7EBFCFF2" w14:textId="745BDFE2" w:rsidR="00511A4E" w:rsidRPr="00511A4E" w:rsidRDefault="00511A4E" w:rsidP="00511A4E">
                  <w:pPr>
                    <w:spacing w:line="240" w:lineRule="auto"/>
                    <w:jc w:val="center"/>
                    <w:rPr>
                      <w:rFonts w:ascii="Times New Roman" w:hAnsi="Times New Roman" w:cs="Times New Roman"/>
                      <w:color w:val="auto"/>
                      <w:sz w:val="20"/>
                      <w:szCs w:val="20"/>
                    </w:rPr>
                  </w:pPr>
                  <w:r w:rsidRPr="00511A4E">
                    <w:rPr>
                      <w:rFonts w:ascii="Times New Roman" w:hAnsi="Times New Roman" w:cs="Times New Roman"/>
                      <w:sz w:val="20"/>
                      <w:szCs w:val="20"/>
                    </w:rPr>
                    <w:t xml:space="preserve">літри </w:t>
                  </w:r>
                </w:p>
              </w:tc>
              <w:tc>
                <w:tcPr>
                  <w:tcW w:w="1134" w:type="dxa"/>
                  <w:tcBorders>
                    <w:top w:val="single" w:sz="4" w:space="0" w:color="auto"/>
                    <w:left w:val="single" w:sz="4" w:space="0" w:color="auto"/>
                    <w:bottom w:val="single" w:sz="4" w:space="0" w:color="auto"/>
                    <w:right w:val="single" w:sz="4" w:space="0" w:color="auto"/>
                  </w:tcBorders>
                </w:tcPr>
                <w:p w14:paraId="1F996BE1" w14:textId="7BBE2D7D" w:rsidR="00511A4E" w:rsidRPr="0062346D" w:rsidRDefault="00D54A63" w:rsidP="00511A4E">
                  <w:pPr>
                    <w:jc w:val="center"/>
                    <w:rPr>
                      <w:rFonts w:ascii="Times New Roman" w:hAnsi="Times New Roman" w:cs="Times New Roman"/>
                      <w:color w:val="auto"/>
                      <w:sz w:val="20"/>
                      <w:szCs w:val="20"/>
                    </w:rPr>
                  </w:pPr>
                  <w:r>
                    <w:rPr>
                      <w:rFonts w:ascii="Times New Roman" w:hAnsi="Times New Roman" w:cs="Times New Roman"/>
                      <w:sz w:val="20"/>
                      <w:szCs w:val="20"/>
                    </w:rPr>
                    <w:t>700</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1A2EFA6A"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511A4E" w:rsidRPr="00511A4E">
              <w:rPr>
                <w:rFonts w:ascii="Times New Roman" w:hAnsi="Times New Roman" w:cs="Times New Roman"/>
                <w:sz w:val="24"/>
                <w:szCs w:val="24"/>
              </w:rPr>
              <w:t xml:space="preserve">Розрахунки за Товар (партію </w:t>
            </w:r>
            <w:proofErr w:type="spellStart"/>
            <w:r w:rsidR="00511A4E" w:rsidRPr="00511A4E">
              <w:rPr>
                <w:rFonts w:ascii="Times New Roman" w:hAnsi="Times New Roman" w:cs="Times New Roman"/>
                <w:sz w:val="24"/>
                <w:szCs w:val="24"/>
              </w:rPr>
              <w:t>тoвapy</w:t>
            </w:r>
            <w:proofErr w:type="spellEnd"/>
            <w:r w:rsidR="00511A4E" w:rsidRPr="00511A4E">
              <w:rPr>
                <w:rFonts w:ascii="Times New Roman" w:hAnsi="Times New Roman" w:cs="Times New Roman"/>
                <w:sz w:val="24"/>
                <w:szCs w:val="24"/>
              </w:rPr>
              <w:t>) Покупець здійснює по факту поставки Товару протягом 10 банківських днів згідно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6A2CF653"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87123" w:rsidRPr="00632631">
              <w:rPr>
                <w:rFonts w:ascii="Times New Roman" w:hAnsi="Times New Roman" w:cs="Times New Roman"/>
                <w:color w:val="auto"/>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bookmarkStart w:id="30" w:name="_Hlk129594321"/>
          </w:p>
          <w:bookmarkEnd w:id="30"/>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5C65E35F" w:rsidR="004B4F3E" w:rsidRPr="00632631" w:rsidRDefault="00BB61FB" w:rsidP="000B2BC1">
            <w:pPr>
              <w:spacing w:line="240" w:lineRule="auto"/>
              <w:ind w:firstLine="601"/>
              <w:jc w:val="both"/>
              <w:rPr>
                <w:rFonts w:ascii="Times New Roman" w:hAnsi="Times New Roman" w:cs="Times New Roman"/>
                <w:bCs/>
                <w:sz w:val="24"/>
                <w:szCs w:val="24"/>
              </w:rPr>
            </w:pPr>
            <w:bookmarkStart w:id="31" w:name="_Hlk127354087"/>
            <w:r w:rsidRPr="00632631">
              <w:rPr>
                <w:rFonts w:ascii="Times New Roman" w:hAnsi="Times New Roman" w:cs="Times New Roman"/>
                <w:bCs/>
                <w:sz w:val="24"/>
                <w:szCs w:val="24"/>
              </w:rPr>
              <w:t xml:space="preserve">-  </w:t>
            </w:r>
            <w:bookmarkStart w:id="32" w:name="_Hlk135745916"/>
            <w:r w:rsidR="00511A4E" w:rsidRPr="00511A4E">
              <w:rPr>
                <w:rFonts w:ascii="Times New Roman" w:hAnsi="Times New Roman" w:cs="Times New Roman"/>
                <w:bCs/>
                <w:sz w:val="24"/>
                <w:szCs w:val="24"/>
              </w:rPr>
              <w:t>протягом 20</w:t>
            </w:r>
            <w:r w:rsidR="00511A4E">
              <w:rPr>
                <w:rFonts w:ascii="Times New Roman" w:hAnsi="Times New Roman" w:cs="Times New Roman"/>
                <w:bCs/>
                <w:sz w:val="24"/>
                <w:szCs w:val="24"/>
              </w:rPr>
              <w:t>23 року, до 31 грудня 2023 року</w:t>
            </w:r>
            <w:r w:rsidR="004B4F3E" w:rsidRPr="00632631">
              <w:rPr>
                <w:rFonts w:ascii="Times New Roman" w:hAnsi="Times New Roman" w:cs="Times New Roman"/>
                <w:bCs/>
                <w:sz w:val="24"/>
                <w:szCs w:val="24"/>
              </w:rPr>
              <w:t>.</w:t>
            </w:r>
            <w:bookmarkEnd w:id="31"/>
          </w:p>
          <w:bookmarkEnd w:id="32"/>
          <w:p w14:paraId="793E8CA1" w14:textId="07E71EC8"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3D11EA" w:rsidRPr="003D11EA">
              <w:rPr>
                <w:rFonts w:ascii="Times New Roman" w:hAnsi="Times New Roman" w:cs="Times New Roman"/>
                <w:sz w:val="24"/>
                <w:szCs w:val="24"/>
              </w:rPr>
              <w:t xml:space="preserve">73000, Україна, Херсонська область, місто Херсон, стаціонарна мережа </w:t>
            </w:r>
            <w:r w:rsidR="003D11EA" w:rsidRPr="003D11EA">
              <w:rPr>
                <w:rFonts w:ascii="Times New Roman" w:hAnsi="Times New Roman" w:cs="Times New Roman"/>
                <w:sz w:val="24"/>
                <w:szCs w:val="24"/>
              </w:rPr>
              <w:lastRenderedPageBreak/>
              <w:t>автозаправних станцій (АЗС) та АЗС для заправки автотранспорту на території м. Херсона.</w:t>
            </w:r>
            <w:bookmarkStart w:id="33" w:name="_GoBack"/>
            <w:bookmarkEnd w:id="33"/>
          </w:p>
          <w:p w14:paraId="3C1C407B" w14:textId="6FA5E54F" w:rsidR="007308B4" w:rsidRPr="00632631"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викладені в додатку 3 до тендерної документації.</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5F895656" w14:textId="787D82C9" w:rsidR="00FB1E61" w:rsidRPr="00511A4E" w:rsidRDefault="00FB1E6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sz w:val="24"/>
                <w:szCs w:val="24"/>
              </w:rPr>
              <w:t xml:space="preserve">- </w:t>
            </w:r>
            <w:r w:rsidR="00511A4E" w:rsidRPr="00511A4E">
              <w:rPr>
                <w:rFonts w:ascii="Times New Roman" w:hAnsi="Times New Roman" w:cs="Times New Roman"/>
                <w:bCs/>
                <w:sz w:val="24"/>
                <w:szCs w:val="24"/>
              </w:rPr>
              <w:t>товар повинен відповідати діючим державним стандартам, а саме:</w:t>
            </w:r>
            <w:r w:rsidR="00511A4E" w:rsidRPr="00511A4E">
              <w:rPr>
                <w:rFonts w:ascii="Times New Roman" w:hAnsi="Times New Roman" w:cs="Times New Roman"/>
                <w:b/>
                <w:bCs/>
                <w:sz w:val="24"/>
                <w:szCs w:val="24"/>
              </w:rPr>
              <w:t xml:space="preserve"> </w:t>
            </w:r>
            <w:r w:rsidR="005A6B30" w:rsidRPr="00BB1578">
              <w:rPr>
                <w:rFonts w:ascii="Times New Roman" w:hAnsi="Times New Roman" w:cs="Times New Roman"/>
                <w:bCs/>
                <w:color w:val="auto"/>
                <w:sz w:val="24"/>
                <w:szCs w:val="24"/>
              </w:rPr>
              <w:t>ДСТУ 7688:2015 «Паливо дизельне Євро. Технічні умови»</w:t>
            </w:r>
            <w:r w:rsidR="00511A4E" w:rsidRPr="00511A4E">
              <w:rPr>
                <w:rFonts w:ascii="Times New Roman" w:hAnsi="Times New Roman" w:cs="Times New Roman"/>
                <w:bCs/>
                <w:sz w:val="24"/>
                <w:szCs w:val="24"/>
              </w:rPr>
              <w:t xml:space="preserve"> та Постанови КМУ від 01 серпня 2013 року № 927 «Технічний регламент щодо вимог до автомобільних бензинів, дизельного, суднових та котельних палив» (зі змінами),</w:t>
            </w:r>
            <w:r w:rsidR="00511A4E" w:rsidRPr="00511A4E">
              <w:rPr>
                <w:rFonts w:ascii="Times New Roman" w:hAnsi="Times New Roman" w:cs="Times New Roman"/>
                <w:sz w:val="24"/>
                <w:szCs w:val="24"/>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7EE8B46C"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77777777" w:rsidR="003E30A3" w:rsidRPr="00632631" w:rsidRDefault="003E30A3" w:rsidP="008A4FB2">
            <w:pPr>
              <w:spacing w:line="240" w:lineRule="auto"/>
              <w:ind w:firstLine="601"/>
              <w:jc w:val="both"/>
              <w:rPr>
                <w:rFonts w:ascii="Times New Roman" w:eastAsia="Arial" w:hAnsi="Times New Roman" w:cs="Times New Roman"/>
                <w:sz w:val="24"/>
                <w:szCs w:val="24"/>
              </w:rPr>
            </w:pPr>
            <w:r w:rsidRPr="00632631">
              <w:rPr>
                <w:rFonts w:ascii="Times New Roman" w:eastAsia="Arial" w:hAnsi="Times New Roman" w:cs="Times New Roman"/>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0E6650" w:rsidRDefault="000E6650">
      <w:r>
        <w:separator/>
      </w:r>
    </w:p>
  </w:endnote>
  <w:endnote w:type="continuationSeparator" w:id="0">
    <w:p w14:paraId="20179B32" w14:textId="77777777" w:rsidR="000E6650" w:rsidRDefault="000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0E6650" w:rsidRDefault="000E6650">
      <w:r>
        <w:separator/>
      </w:r>
    </w:p>
  </w:footnote>
  <w:footnote w:type="continuationSeparator" w:id="0">
    <w:p w14:paraId="11E313C9" w14:textId="77777777" w:rsidR="000E6650" w:rsidRDefault="000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0E6650" w:rsidRDefault="000E6650"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0E6650" w:rsidRDefault="000E6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0E6650" w:rsidRDefault="000E6650"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3D11EA">
      <w:rPr>
        <w:rStyle w:val="a4"/>
        <w:rFonts w:cs="Arial"/>
        <w:noProof/>
      </w:rPr>
      <w:t>28</w:t>
    </w:r>
    <w:r>
      <w:rPr>
        <w:rStyle w:val="a4"/>
        <w:rFonts w:cs="Arial"/>
      </w:rPr>
      <w:fldChar w:fldCharType="end"/>
    </w:r>
  </w:p>
  <w:p w14:paraId="543B42B4" w14:textId="77777777" w:rsidR="000E6650" w:rsidRDefault="000E66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B2E"/>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2C15-48C8-480A-9F99-A108CED2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29</Pages>
  <Words>8859</Words>
  <Characters>60619</Characters>
  <Application>Microsoft Office Word</Application>
  <DocSecurity>0</DocSecurity>
  <Lines>505</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69340</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189</cp:revision>
  <cp:lastPrinted>2020-07-09T11:32:00Z</cp:lastPrinted>
  <dcterms:created xsi:type="dcterms:W3CDTF">2023-01-23T14:26:00Z</dcterms:created>
  <dcterms:modified xsi:type="dcterms:W3CDTF">2023-11-07T07:39:00Z</dcterms:modified>
</cp:coreProperties>
</file>