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ІНФОРМАЦІЯ ПРО НЕОБХІДНІ ТЕХНІЧНІ,</w:t>
      </w:r>
    </w:p>
    <w:p>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ЯКІСНІ ТА КІЛЬКІСНІ ХАРАКТЕРИСТИКИ ПРЕДМЕТА ЗАКУПІВЛІ</w:t>
      </w:r>
    </w:p>
    <w:p>
      <w:pPr>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Мета послуги: </w:t>
      </w:r>
      <w:r>
        <w:rPr>
          <w:rFonts w:ascii="Times New Roman" w:hAnsi="Times New Roman" w:eastAsia="Times New Roman" w:cs="Times New Roman"/>
          <w:sz w:val="24"/>
          <w:szCs w:val="24"/>
          <w:lang w:eastAsia="ru-RU"/>
        </w:rPr>
        <w:t xml:space="preserve">обмеження поширення пожежі в будівлях, матеріалом конструктивних елементів дахів, яких є деревина. В будівлях дерев’яні конструкції покрівель повинні оброблятися засобами вогнезахисту відповідно до вимог п. 6.23. ДБН В.1.1-7-2016 «Пожежна безпека об’єктів будівництва» та п. 2.5. глави 2 розділу </w:t>
      </w:r>
      <w:r>
        <w:rPr>
          <w:rFonts w:ascii="Times New Roman" w:hAnsi="Times New Roman" w:eastAsia="Times New Roman" w:cs="Times New Roman"/>
          <w:sz w:val="24"/>
          <w:szCs w:val="24"/>
          <w:lang w:val="en-US" w:eastAsia="ru-RU"/>
        </w:rPr>
        <w:t>III</w:t>
      </w:r>
      <w:r>
        <w:rPr>
          <w:rFonts w:ascii="Times New Roman" w:hAnsi="Times New Roman" w:eastAsia="Times New Roman" w:cs="Times New Roman"/>
          <w:sz w:val="24"/>
          <w:szCs w:val="24"/>
          <w:lang w:eastAsia="ru-RU"/>
        </w:rPr>
        <w:t xml:space="preserve"> «Правил пожежної безпеки в Україні», затверджених наказом МВС України від 30.12.2014 р. № 1417, зі змінами і доповненнями, внесеними наказами МВС України від 15.08.2016 р. № 810, від 31.07.2017 р. № 657 та від 25.11.2020 р. № 830, </w:t>
      </w:r>
      <w:r>
        <w:fldChar w:fldCharType="begin"/>
      </w:r>
      <w:r>
        <w:instrText xml:space="preserve"> HYPERLINK "https://zakon.rada.gov.ua/laws/show/z0358-22" \l "n6" \t "_blank" </w:instrText>
      </w:r>
      <w:r>
        <w:fldChar w:fldCharType="separate"/>
      </w:r>
      <w:r>
        <w:rPr>
          <w:rFonts w:ascii="Times New Roman" w:hAnsi="Times New Roman" w:eastAsia="Times New Roman" w:cs="Times New Roman"/>
          <w:color w:val="000080"/>
          <w:sz w:val="24"/>
          <w:szCs w:val="24"/>
          <w:u w:val="single"/>
          <w:shd w:val="clear" w:color="auto" w:fill="FFFFFF"/>
          <w:lang w:eastAsia="ru-RU"/>
        </w:rPr>
        <w:t>від 22.03.2022</w:t>
      </w:r>
      <w:r>
        <w:rPr>
          <w:rFonts w:ascii="Times New Roman" w:hAnsi="Times New Roman" w:eastAsia="Times New Roman" w:cs="Times New Roman"/>
          <w:color w:val="000080"/>
          <w:sz w:val="24"/>
          <w:szCs w:val="24"/>
          <w:u w:val="single"/>
          <w:shd w:val="clear" w:color="auto" w:fill="FFFFFF"/>
          <w:lang w:eastAsia="ru-RU"/>
        </w:rPr>
        <w:fldChar w:fldCharType="end"/>
      </w:r>
      <w:r>
        <w:rPr>
          <w:rFonts w:ascii="Times New Roman" w:hAnsi="Times New Roman" w:eastAsia="Times New Roman" w:cs="Times New Roman"/>
          <w:sz w:val="24"/>
          <w:szCs w:val="24"/>
          <w:lang w:eastAsia="ru-RU"/>
        </w:rPr>
        <w:t xml:space="preserve"> № 197.    </w:t>
      </w:r>
    </w:p>
    <w:p>
      <w:pPr>
        <w:spacing w:after="0" w:line="240" w:lineRule="auto"/>
        <w:ind w:firstLine="708"/>
        <w:jc w:val="both"/>
        <w:rPr>
          <w:rFonts w:ascii="Times New Roman" w:hAnsi="Times New Roman" w:eastAsia="Times New Roman" w:cs="Times New Roman"/>
          <w:sz w:val="24"/>
          <w:szCs w:val="24"/>
          <w:lang w:eastAsia="ru-RU"/>
        </w:rPr>
      </w:pPr>
    </w:p>
    <w:p>
      <w:pPr>
        <w:tabs>
          <w:tab w:val="left" w:pos="72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Учасник при розрахунку ціни тендерної пропозиції не має права включати в ціну будь-які витрати, понесені ним у процесі підготовки пропозиції.</w:t>
      </w:r>
    </w:p>
    <w:p>
      <w:pPr>
        <w:tabs>
          <w:tab w:val="left" w:pos="72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Учасники процедури закупівлі у складі своє тендерної пропозиції повинні підтвердити свою відповідність технічним, якісним та кількісним характеристикам до предмета закупівлі та надати розрахунок ціни тендерної пропозиції (калькуляцію).</w:t>
      </w:r>
    </w:p>
    <w:p>
      <w:pPr>
        <w:tabs>
          <w:tab w:val="left" w:pos="72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Місце надання послуги: 16600, м. Ніжин, вул. Березанська 44 а</w:t>
      </w:r>
    </w:p>
    <w:p>
      <w:pPr>
        <w:tabs>
          <w:tab w:val="left" w:pos="720"/>
        </w:tabs>
        <w:spacing w:after="0" w:line="240" w:lineRule="auto"/>
        <w:jc w:val="both"/>
        <w:rPr>
          <w:rFonts w:ascii="Times New Roman" w:hAnsi="Times New Roman" w:cs="Times New Roman"/>
          <w:b/>
          <w:bCs/>
          <w:sz w:val="24"/>
          <w:szCs w:val="24"/>
          <w:lang w:eastAsia="uk-UA"/>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Термін надання послуг – до 30 червня 2024 року.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Очищення дерев’яних поверхонь від бруду, старої вогнезахисної обробки, жироподібного шару проводять шляхом зіскоблювання або іншим інструментом; видалення пилу і сміття – щітками або шляхом обдування стисненим повітрям.</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Для підтвердження якості складу вогнезахисної речовини учасник до тендерної пропозиції надає наступні документи: сертифікат відповідності Державного центру сертифікації ДСНС України чи іншого акредитованого органу сертифікації (оцінки відповідності); висновок санітарно-епідеміологічної експертизи; регламент робіт з вогнезахисту; Протокол сертифікаційних випробувань з визначення групи вогнезахисної ефективності; Протокол сертифікаційних випробувань з визначення індексу поширення полум’я по поверхні деревини; Протокол сертифікаційних випробувань на відповідність вимогам за показником корозійної дії вогнезахищеної деревини; протокол сертифікаційних випробувань з токсичності продуктів горіння (зазначені вище протоколи мають бути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та завірену НААУ сферу акредитації даного випробувального  центру).</w:t>
      </w:r>
    </w:p>
    <w:p>
      <w:pPr>
        <w:pStyle w:val="8"/>
        <w:numPr>
          <w:ilvl w:val="0"/>
          <w:numId w:val="1"/>
        </w:numPr>
        <w:ind w:left="0" w:firstLine="0"/>
        <w:jc w:val="both"/>
        <w:rPr>
          <w:rFonts w:ascii="Times New Roman" w:hAnsi="Times New Roman" w:cs="Times New Roman"/>
          <w:sz w:val="24"/>
          <w:szCs w:val="24"/>
        </w:rPr>
      </w:pPr>
      <w:bookmarkStart w:id="0" w:name="_GoBack"/>
      <w:r>
        <w:rPr>
          <w:rFonts w:ascii="Times New Roman" w:hAnsi="Times New Roman" w:cs="Times New Roman"/>
          <w:sz w:val="24"/>
          <w:szCs w:val="24"/>
        </w:rPr>
        <w:t>Під час надання послуг Учасник має застосовувати вогнезахисну речовину,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документи від виробника, що підтверджують підгрупу вогнезахисної ефективності 1А, а саме: сертифікат відповідності Державного центру сертифікації ДСНС України чи іншого органу сертифікації (оцінки відповідності) або протоколи випробування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та завірену НААУ сферу акредитації даного випробувального  центру)</w:t>
      </w:r>
      <w:r>
        <w:rPr>
          <w:rFonts w:hint="default" w:ascii="Times New Roman" w:hAnsi="Times New Roman" w:cs="Times New Roman"/>
          <w:sz w:val="24"/>
          <w:szCs w:val="24"/>
          <w:lang w:val="uk-UA"/>
        </w:rPr>
        <w:t>.</w:t>
      </w:r>
    </w:p>
    <w:bookmarkEnd w:id="0"/>
    <w:p>
      <w:pPr>
        <w:pStyle w:val="8"/>
        <w:numPr>
          <w:ilvl w:val="0"/>
          <w:numId w:val="1"/>
        </w:numPr>
        <w:ind w:left="0" w:leftChars="0" w:firstLine="0" w:firstLineChars="0"/>
        <w:jc w:val="both"/>
        <w:rPr>
          <w:rFonts w:ascii="Times New Roman" w:hAnsi="Times New Roman" w:cs="Times New Roman"/>
          <w:sz w:val="24"/>
          <w:szCs w:val="24"/>
        </w:rPr>
      </w:pPr>
      <w:r>
        <w:rPr>
          <w:rFonts w:hint="default" w:ascii="Times New Roman" w:hAnsi="Times New Roman"/>
          <w:sz w:val="24"/>
          <w:szCs w:val="24"/>
        </w:rPr>
        <w:t>Для забезпечення ефективного просочення (досягнення групи вогнезахисної ефективності 1 підгрупа 1А згідно чинного законодавства) та виконання графіку обробки, кількість шарів нанесення вогнезахисної суміші, яка планується учасником до застосування, не повинна перевищувати двох (механізованим спосіб нанесення) або трьох (при ручному нанесенні).</w:t>
      </w:r>
    </w:p>
    <w:p>
      <w:pPr>
        <w:pStyle w:val="8"/>
        <w:numPr>
          <w:numId w:val="0"/>
        </w:numPr>
        <w:ind w:leftChars="0" w:firstLine="120" w:firstLineChars="50"/>
        <w:jc w:val="both"/>
        <w:rPr>
          <w:rFonts w:ascii="Times New Roman" w:hAnsi="Times New Roman" w:cs="Times New Roman"/>
          <w:sz w:val="24"/>
          <w:szCs w:val="24"/>
        </w:rPr>
      </w:pPr>
      <w:r>
        <w:rPr>
          <w:rFonts w:ascii="Times New Roman" w:hAnsi="Times New Roman" w:cs="Times New Roman"/>
          <w:sz w:val="24"/>
          <w:szCs w:val="24"/>
        </w:rPr>
        <w:t xml:space="preserve">Строк придатності вогнезахисної обробки має складати не менше 3 років в належних умовах експлуатації, про що учасник надає копію протоколу випробування з визначення прогнозованого (очікуваного) строку придатності вогнезахисного просочення. Протокол випробування з визначення строку придатності вогнезахисного просочування, який визначено відповідно до результатів кліматичних або періодичних випробувань  повинен бути виданий акредитованою випробувальною лабораторією по діючому ГОСТ, ДСТУ або за затвердженою ДСНС методикою (додатково надати на такий  випробувальний  центр  атестат  про акредитацію НААУ відповідно до вимог ДСТУ EN ISO/IEC 17025 та завірену НААУ сферу акредитації даного випробувального  центру). </w:t>
      </w:r>
    </w:p>
    <w:p>
      <w:pPr>
        <w:pStyle w:val="8"/>
        <w:widowControl w:val="0"/>
        <w:tabs>
          <w:tab w:val="left" w:pos="0"/>
        </w:tabs>
        <w:spacing w:after="0" w:line="240" w:lineRule="auto"/>
        <w:ind w:left="0" w:right="113"/>
        <w:jc w:val="both"/>
        <w:rPr>
          <w:rFonts w:ascii="Times New Roman" w:hAnsi="Times New Roman" w:cs="Times New Roman"/>
          <w:sz w:val="24"/>
          <w:szCs w:val="24"/>
        </w:rPr>
      </w:pPr>
      <w:r>
        <w:rPr>
          <w:rFonts w:ascii="Times New Roman" w:hAnsi="Times New Roman" w:cs="Times New Roman"/>
          <w:sz w:val="24"/>
          <w:szCs w:val="24"/>
        </w:rPr>
        <w:t>Протокол випробування з визначення строку придатності вогнезахисного просочування, повинен обов’язково містити в собі спалювання зразків, відповідно до ГОСТ 16363, після усіх циклів кліматичних або періодичних випробувань, щоб підтвердити свою спроможність зберігати вогнезахисну ефективність протягом прогнозованого (очікуваного) строку придатності даної обробки.</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Показники вогнезахисної речовини, зазначені в усіх наданих згідно пунктів 4 та 5 цього Додатку протоколах, мають відповідати характеристикам запропонованого продукту та забезпечувати групу вогнезахисної ефективності 1 підгрупа 1А</w:t>
      </w:r>
      <w:r>
        <w:rPr>
          <w:rFonts w:ascii="Times New Roman" w:hAnsi="Times New Roman" w:cs="Times New Roman"/>
          <w:sz w:val="24"/>
          <w:szCs w:val="24"/>
          <w:lang w:val="ru-RU"/>
        </w:rPr>
        <w:t>.</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Під час надання послуг Учасник має застосовувати вогнезахисну суміш,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відповідний гарантійний лист та документи виробника (-ів) вогнезахисної суміші або  представництва (-в) чи філії виробника (-ів) – якщо їх відповідні повноваження поширюються на територію або імпортера (-ів)),  в якому виробник (-и) (або представництво (-а) чи філія виробника (-ів) – якщо їх відповідні повноваження поширюються на територію України або імпортер, що підтверджують підгрупу вогнезахисної ефективності 1А (надати регламент від виробника).</w:t>
      </w:r>
    </w:p>
    <w:p>
      <w:pPr>
        <w:pStyle w:val="8"/>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При наданні послуг щодо предмету закупівлі учасники повинні застосовувати заходи із захисту довкілля (надати копію наказу про призначення відповідальної особи за відповідний напрямок). </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Учасник має надати копії діючих на кінцеву дату подання пропозицій сертифікату відповідності Державного центру сертифікації ДСНС України або іншого державного органу або органу сертифікації (оцінки відповідності) та висновку санітарно-епідеміологічної експертизи щодо вогнезахисної суміші, що планується учасником до застосування.</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Надати гарантійний лист виробника вогнезахисної суміші або представництва(-в) чи філії виробника(-ів) – якщо їх відповідні повноваження поширюються на територію України або імпортера(-ів), в якому виробник(-и) (або представництво (-а) чи філія виробника (-ів) – якщо їх відповідні повноваження поширюються на територію України або імпортера(-ів)) про гарантовану поставку учаснику якісної вогнезахисної суміші в строк та в обсягах, необхідних для надання послуг, передбачених цим оголошенням.</w:t>
      </w:r>
    </w:p>
    <w:p>
      <w:pPr>
        <w:pStyle w:val="8"/>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надає оригінал ліцензії,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 або Учасник надає інший документ, який підтверджує його право  на користування вказаною ліцензією на підставі договірних відносин.</w:t>
      </w:r>
    </w:p>
    <w:p>
      <w:pPr>
        <w:pStyle w:val="8"/>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надає:</w:t>
      </w:r>
    </w:p>
    <w:p>
      <w:pPr>
        <w:pStyle w:val="8"/>
        <w:numPr>
          <w:ilvl w:val="1"/>
          <w:numId w:val="1"/>
        </w:numPr>
        <w:ind w:left="0" w:firstLine="0"/>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скан- </w:t>
      </w:r>
      <w:r>
        <w:rPr>
          <w:rFonts w:ascii="Times New Roman" w:hAnsi="Times New Roman" w:eastAsia="Times New Roman" w:cs="Times New Roman"/>
          <w:sz w:val="24"/>
          <w:szCs w:val="24"/>
        </w:rPr>
        <w:t>копію оригіналу (завірену копію) протоколів (витяги з протоколів) перевірки знань, посвідчень працівників Учасника, що будуть виконувати роботи безпосередньо на об`єкті («Правила охорони праці під час виконання робіт на висоті» (НПАОП 0.00-1.15-07); «Правила охорони праці під час роботи із інструментом та пристроями» (НПАОП 0.00-1.71-13);</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скан- </w:t>
      </w:r>
      <w:r>
        <w:rPr>
          <w:rFonts w:ascii="Times New Roman" w:hAnsi="Times New Roman" w:eastAsia="Times New Roman" w:cs="Times New Roman"/>
          <w:sz w:val="24"/>
          <w:szCs w:val="24"/>
        </w:rPr>
        <w:t>копію оригіналу (завірену копію) Декларації відповідності матеріально-технічної бази вимогам законодавства з питань охорони праці стосовно: Роботи, що виконуються на висоті понад 1,3 метра.;</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скан- копію оригіналу (завірену копію) оригіналу заключного акту про проходження періодичного медичного огляду працівників на працівників Учасника, що будуть виконувати роботи безпосередньо на об`єкті, які видані в установленому порядку та чинні не менше як 30 днів з дати подання тендерної пропозицій (мати при собі під час надання послуги).  </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сертифікату, виданого на ім'я учасника - ДСТУ EN ISO 9001:2018 (EN ISO 9001:2015, IDT; ISO 9001:2015 IDT) або ISO 9001:2015.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 ;</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сертифіката, виданого на ім'я учасника ДСТУ ISO 14001:2015 (ISO  14001:2015, IDT) або ISO 14001:2015.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скан-копію сертифікату  виданого на ім’я учасника  ДСТУ ISO/IEC 27001:2015.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сертифіката виданого на ім'я учасника ДСТУ ISO 45001:2019 (ISO 45001:2018, IDT) або ISO 45001:2018 .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shd w:val="clear" w:color="auto" w:fill="FFFFFF"/>
        <w:spacing w:after="0" w:line="240" w:lineRule="auto"/>
        <w:ind w:left="0"/>
        <w:jc w:val="both"/>
        <w:rPr>
          <w:rFonts w:ascii="Times New Roman" w:hAnsi="Times New Roman" w:eastAsia="Times New Roman" w:cs="Times New Roman"/>
          <w:sz w:val="24"/>
          <w:szCs w:val="24"/>
        </w:rPr>
      </w:pPr>
    </w:p>
    <w:tbl>
      <w:tblPr>
        <w:tblStyle w:val="3"/>
        <w:tblW w:w="10206" w:type="dxa"/>
        <w:jc w:val="center"/>
        <w:tblLayout w:type="fixed"/>
        <w:tblCellMar>
          <w:top w:w="0" w:type="dxa"/>
          <w:left w:w="28" w:type="dxa"/>
          <w:bottom w:w="0" w:type="dxa"/>
          <w:right w:w="28" w:type="dxa"/>
        </w:tblCellMar>
      </w:tblPr>
      <w:tblGrid>
        <w:gridCol w:w="426"/>
        <w:gridCol w:w="567"/>
        <w:gridCol w:w="5098"/>
        <w:gridCol w:w="1418"/>
        <w:gridCol w:w="1418"/>
        <w:gridCol w:w="854"/>
        <w:gridCol w:w="425"/>
      </w:tblGrid>
      <w:tr>
        <w:tblPrEx>
          <w:tblCellMar>
            <w:top w:w="0" w:type="dxa"/>
            <w:left w:w="28" w:type="dxa"/>
            <w:bottom w:w="0" w:type="dxa"/>
            <w:right w:w="28" w:type="dxa"/>
          </w:tblCellMar>
        </w:tblPrEx>
        <w:trPr>
          <w:jc w:val="center"/>
        </w:trPr>
        <w:tc>
          <w:tcPr>
            <w:tcW w:w="10206" w:type="dxa"/>
            <w:gridSpan w:val="7"/>
            <w:tcBorders>
              <w:top w:val="nil"/>
              <w:left w:val="nil"/>
              <w:bottom w:val="nil"/>
              <w:right w:val="nil"/>
            </w:tcBorders>
          </w:tcPr>
          <w:p>
            <w:pPr>
              <w:keepLines/>
              <w:autoSpaceDE w:val="0"/>
              <w:autoSpaceDN w:val="0"/>
              <w:spacing w:after="0" w:line="240" w:lineRule="auto"/>
              <w:ind w:firstLine="468" w:firstLineChars="200"/>
              <w:rPr>
                <w:rFonts w:ascii="Times New Roman" w:hAnsi="Times New Roman" w:cs="Times New Roman"/>
                <w:sz w:val="24"/>
                <w:szCs w:val="24"/>
              </w:rPr>
            </w:pPr>
            <w:r>
              <w:rPr>
                <w:rFonts w:ascii="Times New Roman" w:hAnsi="Times New Roman" w:cs="Times New Roman"/>
                <w:spacing w:val="-3"/>
                <w:sz w:val="24"/>
                <w:szCs w:val="24"/>
              </w:rPr>
              <w:t xml:space="preserve">Об'єми </w:t>
            </w:r>
          </w:p>
        </w:tc>
      </w:tr>
      <w:tr>
        <w:tblPrEx>
          <w:tblCellMar>
            <w:top w:w="0" w:type="dxa"/>
            <w:left w:w="28" w:type="dxa"/>
            <w:bottom w:w="0" w:type="dxa"/>
            <w:right w:w="28" w:type="dxa"/>
          </w:tblCellMar>
        </w:tblPrEx>
        <w:trPr>
          <w:gridBefore w:val="1"/>
          <w:gridAfter w:val="1"/>
          <w:wBefore w:w="426" w:type="dxa"/>
          <w:wAfter w:w="425" w:type="dxa"/>
          <w:trHeight w:val="90" w:hRule="atLeast"/>
          <w:jc w:val="center"/>
        </w:trPr>
        <w:tc>
          <w:tcPr>
            <w:tcW w:w="567" w:type="dxa"/>
            <w:tcBorders>
              <w:top w:val="single" w:color="auto" w:sz="12" w:space="0"/>
              <w:left w:val="single" w:color="auto" w:sz="12" w:space="0"/>
              <w:bottom w:val="nil"/>
              <w:right w:val="single" w:color="auto" w:sz="4" w:space="0"/>
            </w:tcBorders>
            <w:vAlign w:val="center"/>
          </w:tcPr>
          <w:p>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w:t>
            </w: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Ч.ч.</w:t>
            </w:r>
          </w:p>
        </w:tc>
        <w:tc>
          <w:tcPr>
            <w:tcW w:w="5098" w:type="dxa"/>
            <w:tcBorders>
              <w:top w:val="single" w:color="auto" w:sz="12" w:space="0"/>
              <w:left w:val="nil"/>
              <w:bottom w:val="nil"/>
              <w:right w:val="nil"/>
            </w:tcBorders>
            <w:vAlign w:val="center"/>
          </w:tcPr>
          <w:p>
            <w:pPr>
              <w:keepLines/>
              <w:autoSpaceDE w:val="0"/>
              <w:autoSpaceDN w:val="0"/>
              <w:spacing w:after="0" w:line="240" w:lineRule="auto"/>
              <w:jc w:val="center"/>
              <w:rPr>
                <w:rFonts w:ascii="Times New Roman" w:hAnsi="Times New Roman" w:cs="Times New Roman"/>
                <w:spacing w:val="-3"/>
                <w:sz w:val="24"/>
                <w:szCs w:val="24"/>
              </w:rPr>
            </w:pP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Найменування робіт і витрат</w:t>
            </w:r>
          </w:p>
        </w:tc>
        <w:tc>
          <w:tcPr>
            <w:tcW w:w="1418" w:type="dxa"/>
            <w:tcBorders>
              <w:top w:val="single" w:color="auto" w:sz="12" w:space="0"/>
              <w:left w:val="single" w:color="auto" w:sz="4" w:space="0"/>
              <w:bottom w:val="nil"/>
              <w:right w:val="nil"/>
            </w:tcBorders>
            <w:vAlign w:val="center"/>
          </w:tcPr>
          <w:p>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Одиниця</w:t>
            </w: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виміру</w:t>
            </w:r>
          </w:p>
        </w:tc>
        <w:tc>
          <w:tcPr>
            <w:tcW w:w="1418" w:type="dxa"/>
            <w:tcBorders>
              <w:top w:val="single" w:color="auto" w:sz="12" w:space="0"/>
              <w:left w:val="single" w:color="auto" w:sz="4" w:space="0"/>
              <w:bottom w:val="nil"/>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 xml:space="preserve">  Кількість</w:t>
            </w:r>
          </w:p>
        </w:tc>
        <w:tc>
          <w:tcPr>
            <w:tcW w:w="854" w:type="dxa"/>
            <w:tcBorders>
              <w:top w:val="single" w:color="auto" w:sz="12" w:space="0"/>
              <w:left w:val="single" w:color="auto" w:sz="4" w:space="0"/>
              <w:bottom w:val="nil"/>
              <w:right w:val="single" w:color="auto" w:sz="12"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Примітка</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single" w:color="auto" w:sz="4" w:space="0"/>
              <w:left w:val="single" w:color="auto" w:sz="12" w:space="0"/>
              <w:bottom w:val="single" w:color="auto" w:sz="4" w:space="0"/>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098" w:type="dxa"/>
            <w:tcBorders>
              <w:top w:val="single" w:color="auto" w:sz="4" w:space="0"/>
              <w:left w:val="nil"/>
              <w:bottom w:val="single" w:color="auto" w:sz="4"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1418" w:type="dxa"/>
            <w:tcBorders>
              <w:top w:val="single" w:color="auto" w:sz="4" w:space="0"/>
              <w:left w:val="single" w:color="auto" w:sz="4" w:space="0"/>
              <w:bottom w:val="single" w:color="auto" w:sz="4"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w:t>
            </w:r>
          </w:p>
        </w:tc>
        <w:tc>
          <w:tcPr>
            <w:tcW w:w="854" w:type="dxa"/>
            <w:tcBorders>
              <w:top w:val="single" w:color="auto" w:sz="4" w:space="0"/>
              <w:left w:val="single" w:color="auto" w:sz="4" w:space="0"/>
              <w:bottom w:val="single" w:color="auto" w:sz="4" w:space="0"/>
              <w:right w:val="single" w:color="auto" w:sz="12"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5</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nil"/>
              <w:left w:val="single" w:color="auto" w:sz="12"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098" w:type="dxa"/>
            <w:tcBorders>
              <w:top w:val="nil"/>
              <w:left w:val="nil"/>
              <w:bottom w:val="nil"/>
              <w:right w:val="nil"/>
            </w:tcBorders>
          </w:tcPr>
          <w:p>
            <w:pPr>
              <w:keepLines/>
              <w:autoSpaceDE w:val="0"/>
              <w:autoSpaceDN w:val="0"/>
              <w:spacing w:after="0" w:line="240" w:lineRule="auto"/>
              <w:rPr>
                <w:rFonts w:ascii="Times New Roman" w:hAnsi="Times New Roman" w:cs="Times New Roman"/>
                <w:sz w:val="24"/>
                <w:szCs w:val="24"/>
              </w:rPr>
            </w:pPr>
            <w:r>
              <w:rPr>
                <w:rFonts w:ascii="Times New Roman" w:hAnsi="Times New Roman"/>
                <w:spacing w:val="-3"/>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w:t>
            </w:r>
          </w:p>
        </w:tc>
        <w:tc>
          <w:tcPr>
            <w:tcW w:w="1418" w:type="dxa"/>
            <w:tcBorders>
              <w:top w:val="nil"/>
              <w:left w:val="single" w:color="auto" w:sz="4" w:space="0"/>
              <w:bottom w:val="nil"/>
              <w:right w:val="nil"/>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м2</w:t>
            </w:r>
          </w:p>
        </w:tc>
        <w:tc>
          <w:tcPr>
            <w:tcW w:w="1418" w:type="dxa"/>
            <w:tcBorders>
              <w:top w:val="nil"/>
              <w:left w:val="single" w:color="auto" w:sz="4"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4443,25</w:t>
            </w:r>
          </w:p>
        </w:tc>
        <w:tc>
          <w:tcPr>
            <w:tcW w:w="854" w:type="dxa"/>
            <w:tcBorders>
              <w:top w:val="nil"/>
              <w:left w:val="single" w:color="auto" w:sz="4" w:space="0"/>
              <w:bottom w:val="nil"/>
              <w:right w:val="single" w:color="auto" w:sz="12"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nil"/>
              <w:left w:val="single" w:color="auto" w:sz="12"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5098" w:type="dxa"/>
            <w:tcBorders>
              <w:top w:val="nil"/>
              <w:left w:val="nil"/>
              <w:bottom w:val="nil"/>
              <w:right w:val="nil"/>
            </w:tcBorders>
          </w:tcPr>
          <w:p>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Вогнезахисна речовина </w:t>
            </w:r>
          </w:p>
        </w:tc>
        <w:tc>
          <w:tcPr>
            <w:tcW w:w="1418" w:type="dxa"/>
            <w:tcBorders>
              <w:top w:val="nil"/>
              <w:left w:val="single" w:color="auto" w:sz="4" w:space="0"/>
              <w:bottom w:val="nil"/>
              <w:right w:val="nil"/>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т</w:t>
            </w:r>
          </w:p>
        </w:tc>
        <w:tc>
          <w:tcPr>
            <w:tcW w:w="1418" w:type="dxa"/>
            <w:tcBorders>
              <w:top w:val="nil"/>
              <w:left w:val="single" w:color="auto" w:sz="4"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1,666</w:t>
            </w:r>
          </w:p>
        </w:tc>
        <w:tc>
          <w:tcPr>
            <w:tcW w:w="854" w:type="dxa"/>
            <w:tcBorders>
              <w:top w:val="nil"/>
              <w:left w:val="single" w:color="auto" w:sz="4" w:space="0"/>
              <w:bottom w:val="nil"/>
              <w:right w:val="single" w:color="auto" w:sz="12"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jc w:val="center"/>
        </w:trPr>
        <w:tc>
          <w:tcPr>
            <w:tcW w:w="9355" w:type="dxa"/>
            <w:gridSpan w:val="5"/>
            <w:tcBorders>
              <w:top w:val="single" w:color="auto" w:sz="12" w:space="0"/>
              <w:left w:val="nil"/>
              <w:bottom w:val="single" w:color="auto" w:sz="12"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trHeight w:val="90" w:hRule="atLeast"/>
          <w:jc w:val="center"/>
        </w:trPr>
        <w:tc>
          <w:tcPr>
            <w:tcW w:w="9355" w:type="dxa"/>
            <w:gridSpan w:val="5"/>
            <w:tcBorders>
              <w:top w:val="single" w:color="auto" w:sz="12" w:space="0"/>
              <w:left w:val="nil"/>
              <w:bottom w:val="nil"/>
              <w:right w:val="nil"/>
            </w:tcBorders>
            <w:vAlign w:val="center"/>
          </w:tcPr>
          <w:p>
            <w:pPr>
              <w:keepLines/>
              <w:autoSpaceDE w:val="0"/>
              <w:autoSpaceDN w:val="0"/>
              <w:spacing w:after="0" w:line="240" w:lineRule="auto"/>
              <w:jc w:val="both"/>
              <w:rPr>
                <w:rFonts w:ascii="Times New Roman" w:hAnsi="Times New Roman" w:cs="Times New Roman"/>
                <w:sz w:val="24"/>
                <w:szCs w:val="24"/>
              </w:rPr>
            </w:pPr>
          </w:p>
        </w:tc>
      </w:tr>
    </w:tbl>
    <w:p>
      <w:pPr>
        <w:pStyle w:val="8"/>
        <w:ind w:left="0" w:firstLine="480" w:firstLineChars="200"/>
        <w:jc w:val="both"/>
        <w:rPr>
          <w:rFonts w:ascii="Times New Roman" w:hAnsi="Times New Roman" w:cs="Times New Roman"/>
          <w:sz w:val="24"/>
          <w:szCs w:val="24"/>
        </w:rPr>
      </w:pPr>
      <w:r>
        <w:rPr>
          <w:rFonts w:ascii="Times New Roman" w:hAnsi="Times New Roman" w:cs="Times New Roman"/>
          <w:bCs/>
          <w:sz w:val="24"/>
          <w:szCs w:val="24"/>
          <w:lang w:eastAsia="zh-CN"/>
        </w:rPr>
        <w:t xml:space="preserve">Розробити кошторисну документацію </w:t>
      </w:r>
      <w:r>
        <w:rPr>
          <w:rFonts w:ascii="Times New Roman" w:hAnsi="Times New Roman" w:cs="Times New Roman"/>
          <w:sz w:val="24"/>
          <w:szCs w:val="24"/>
          <w:lang w:eastAsia="zh-CN"/>
        </w:rPr>
        <w:t>(подається додатково у форматі Word</w:t>
      </w:r>
      <w:r>
        <w:rPr>
          <w:rFonts w:ascii="Times New Roman" w:hAnsi="Times New Roman" w:cs="Times New Roman"/>
          <w:iCs/>
          <w:sz w:val="24"/>
          <w:szCs w:val="24"/>
        </w:rPr>
        <w:t xml:space="preserve"> або іншому форматі</w:t>
      </w:r>
      <w:r>
        <w:rPr>
          <w:rFonts w:ascii="Times New Roman" w:hAnsi="Times New Roman" w:cs="Times New Roman"/>
          <w:sz w:val="24"/>
          <w:szCs w:val="24"/>
          <w:lang w:eastAsia="zh-CN"/>
        </w:rPr>
        <w:t>) у складі:</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Дефектний акт;</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Договірна ціна (</w:t>
      </w:r>
      <w:r>
        <w:rPr>
          <w:rFonts w:ascii="Times New Roman" w:hAnsi="Times New Roman" w:cs="Times New Roman"/>
          <w:bCs/>
          <w:iCs/>
          <w:color w:val="000000"/>
          <w:sz w:val="24"/>
          <w:szCs w:val="24"/>
          <w:lang w:eastAsia="ar-SA"/>
        </w:rPr>
        <w:t>тверда)</w:t>
      </w:r>
      <w:r>
        <w:rPr>
          <w:rFonts w:ascii="Times New Roman" w:hAnsi="Times New Roman" w:cs="Times New Roman"/>
          <w:sz w:val="24"/>
          <w:szCs w:val="24"/>
          <w:lang w:eastAsia="zh-CN"/>
        </w:rPr>
        <w:t>;</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Зведений кошторисний розрахунок з пояснювальною запискою;</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Локальні кошториси;</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Підсумкова відомість ресурсів до локального кошторисного розрахунку</w:t>
      </w:r>
      <w:r>
        <w:rPr>
          <w:rFonts w:ascii="Times New Roman" w:hAnsi="Times New Roman" w:cs="Times New Roman"/>
          <w:sz w:val="24"/>
          <w:szCs w:val="24"/>
        </w:rPr>
        <w:t>.</w:t>
      </w:r>
    </w:p>
    <w:p>
      <w:pPr>
        <w:pStyle w:val="8"/>
        <w:ind w:left="0" w:firstLine="360"/>
        <w:jc w:val="both"/>
        <w:rPr>
          <w:rFonts w:ascii="Times New Roman" w:hAnsi="Times New Roman" w:cs="Times New Roman"/>
          <w:i/>
          <w:sz w:val="24"/>
          <w:szCs w:val="24"/>
        </w:rPr>
      </w:pPr>
      <w:r>
        <w:rPr>
          <w:rFonts w:ascii="Times New Roman" w:hAnsi="Times New Roman" w:cs="Times New Roman"/>
          <w:color w:val="000000"/>
          <w:sz w:val="24"/>
          <w:szCs w:val="24"/>
        </w:rPr>
        <w:t>Кошторисна документація (кошторисні розрахунки пропозиції) Учасника мають відповідати всім вимогам та показникам, передбачених у  цьому  Додатку.</w:t>
      </w:r>
    </w:p>
    <w:p>
      <w:pPr>
        <w:suppressAutoHyphens/>
        <w:ind w:firstLine="567"/>
        <w:jc w:val="both"/>
        <w:rPr>
          <w:rFonts w:ascii="Times New Roman" w:hAnsi="Times New Roman" w:cs="Times New Roman"/>
          <w:i/>
          <w:sz w:val="24"/>
          <w:szCs w:val="24"/>
        </w:rPr>
      </w:pPr>
      <w:r>
        <w:rPr>
          <w:rFonts w:ascii="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w:t>
      </w:r>
    </w:p>
    <w:p>
      <w:pPr>
        <w:tabs>
          <w:tab w:val="left" w:pos="708"/>
        </w:tabs>
        <w:suppressAutoHyphens/>
        <w:ind w:firstLine="567"/>
        <w:jc w:val="both"/>
        <w:rPr>
          <w:rFonts w:ascii="Times New Roman" w:hAnsi="Times New Roman" w:cs="Times New Roman"/>
          <w:i/>
          <w:sz w:val="24"/>
          <w:szCs w:val="24"/>
        </w:rPr>
      </w:pPr>
      <w:r>
        <w:rPr>
          <w:rFonts w:ascii="Times New Roman" w:hAnsi="Times New Roman" w:cs="Times New Roman"/>
          <w:i/>
          <w:sz w:val="24"/>
          <w:szCs w:val="24"/>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hAnsi="Times New Roman" w:cs="Times New Roman"/>
          <w:bCs/>
          <w:i/>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ind w:firstLine="709"/>
        <w:jc w:val="both"/>
        <w:rPr>
          <w:rFonts w:ascii="Times New Roman" w:hAnsi="Times New Roman" w:cs="Times New Roman"/>
          <w:i/>
          <w:color w:val="000000"/>
          <w:sz w:val="24"/>
          <w:szCs w:val="24"/>
        </w:rPr>
      </w:pPr>
      <w:r>
        <w:rPr>
          <w:rFonts w:ascii="Times New Roman" w:hAnsi="Times New Roman" w:cs="Times New Roman"/>
          <w:i/>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pPr>
        <w:rPr>
          <w:rFonts w:ascii="Times New Roman" w:hAnsi="Times New Roman" w:cs="Times New Roman" w:eastAsiaTheme="minorHAnsi"/>
          <w:b/>
          <w:bCs/>
          <w:sz w:val="24"/>
          <w:szCs w:val="24"/>
          <w:lang w:eastAsia="uk-UA"/>
        </w:rPr>
      </w:pPr>
    </w:p>
    <w:p>
      <w:pPr>
        <w:spacing w:after="0"/>
        <w:ind w:firstLine="709"/>
        <w:jc w:val="both"/>
        <w:rPr>
          <w:rFonts w:ascii="Times New Roman" w:hAnsi="Times New Roman" w:cs="Times New Roman"/>
          <w:sz w:val="24"/>
          <w:szCs w:val="24"/>
        </w:rPr>
      </w:pPr>
    </w:p>
    <w:sectPr>
      <w:pgSz w:w="11906" w:h="16838"/>
      <w:pgMar w:top="568" w:right="851" w:bottom="993"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95BB7"/>
    <w:multiLevelType w:val="multilevel"/>
    <w:tmpl w:val="1EB95BB7"/>
    <w:lvl w:ilvl="0" w:tentative="0">
      <w:start w:val="1"/>
      <w:numFmt w:val="decimal"/>
      <w:lvlText w:val="%1."/>
      <w:lvlJc w:val="left"/>
      <w:pPr>
        <w:ind w:left="360" w:hanging="360"/>
      </w:pPr>
    </w:lvl>
    <w:lvl w:ilvl="1" w:tentative="0">
      <w:start w:val="0"/>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02A2BB6"/>
    <w:multiLevelType w:val="multilevel"/>
    <w:tmpl w:val="502A2B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EC"/>
    <w:rsid w:val="000831DD"/>
    <w:rsid w:val="001A4682"/>
    <w:rsid w:val="0038429F"/>
    <w:rsid w:val="00390D4C"/>
    <w:rsid w:val="003F0057"/>
    <w:rsid w:val="00495C75"/>
    <w:rsid w:val="004F5409"/>
    <w:rsid w:val="00650EB9"/>
    <w:rsid w:val="00665200"/>
    <w:rsid w:val="006C0B77"/>
    <w:rsid w:val="00763EFB"/>
    <w:rsid w:val="008242FF"/>
    <w:rsid w:val="00870751"/>
    <w:rsid w:val="00922C48"/>
    <w:rsid w:val="00972183"/>
    <w:rsid w:val="00B915B7"/>
    <w:rsid w:val="00BA37D1"/>
    <w:rsid w:val="00BF2AC2"/>
    <w:rsid w:val="00C52383"/>
    <w:rsid w:val="00E01CEC"/>
    <w:rsid w:val="00E04505"/>
    <w:rsid w:val="00E243D7"/>
    <w:rsid w:val="00EA3E99"/>
    <w:rsid w:val="00EA59DF"/>
    <w:rsid w:val="00EE4070"/>
    <w:rsid w:val="00F12C76"/>
    <w:rsid w:val="00F3755A"/>
    <w:rsid w:val="00F40E97"/>
    <w:rsid w:val="00F8236C"/>
    <w:rsid w:val="07815536"/>
    <w:rsid w:val="0AC0043E"/>
    <w:rsid w:val="0C9A3EA7"/>
    <w:rsid w:val="0EBD5CF5"/>
    <w:rsid w:val="240230FA"/>
    <w:rsid w:val="2DA276C8"/>
    <w:rsid w:val="3E2B6A45"/>
    <w:rsid w:val="3F2B5038"/>
    <w:rsid w:val="76D266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autoRedefine/>
    <w:qFormat/>
    <w:uiPriority w:val="0"/>
    <w:pPr>
      <w:spacing w:after="160" w:line="259" w:lineRule="auto"/>
    </w:pPr>
    <w:rPr>
      <w:rFonts w:ascii="Calibri" w:hAnsi="Calibri" w:eastAsia="Calibri" w:cs="Calibri"/>
      <w:sz w:val="22"/>
      <w:szCs w:val="22"/>
      <w:lang w:val="uk-UA" w:eastAsia="en-US"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9"/>
    <w:autoRedefine/>
    <w:semiHidden/>
    <w:unhideWhenUsed/>
    <w:qFormat/>
    <w:uiPriority w:val="99"/>
    <w:pPr>
      <w:spacing w:after="0" w:line="240" w:lineRule="auto"/>
    </w:pPr>
    <w:rPr>
      <w:rFonts w:ascii="Tahoma" w:hAnsi="Tahoma" w:cs="Tahoma"/>
      <w:sz w:val="16"/>
      <w:szCs w:val="16"/>
    </w:rPr>
  </w:style>
  <w:style w:type="paragraph" w:customStyle="1" w:styleId="5">
    <w:name w:val="rvps2"/>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6">
    <w:name w:val="Другое_"/>
    <w:basedOn w:val="2"/>
    <w:link w:val="7"/>
    <w:autoRedefine/>
    <w:qFormat/>
    <w:uiPriority w:val="0"/>
    <w:rPr>
      <w:rFonts w:ascii="Arial" w:hAnsi="Arial" w:eastAsia="Arial" w:cs="Arial"/>
      <w:sz w:val="20"/>
      <w:szCs w:val="20"/>
    </w:rPr>
  </w:style>
  <w:style w:type="paragraph" w:customStyle="1" w:styleId="7">
    <w:name w:val="Другое"/>
    <w:basedOn w:val="1"/>
    <w:link w:val="6"/>
    <w:autoRedefine/>
    <w:qFormat/>
    <w:uiPriority w:val="0"/>
    <w:pPr>
      <w:widowControl w:val="0"/>
      <w:spacing w:after="0" w:line="240" w:lineRule="auto"/>
    </w:pPr>
    <w:rPr>
      <w:rFonts w:ascii="Arial" w:hAnsi="Arial" w:eastAsia="Arial" w:cs="Arial"/>
      <w:kern w:val="2"/>
      <w:sz w:val="20"/>
      <w:szCs w:val="20"/>
      <w:lang w:val="ru-RU"/>
      <w14:ligatures w14:val="standardContextual"/>
    </w:rPr>
  </w:style>
  <w:style w:type="paragraph" w:styleId="8">
    <w:name w:val="List Paragraph"/>
    <w:basedOn w:val="1"/>
    <w:link w:val="10"/>
    <w:autoRedefine/>
    <w:qFormat/>
    <w:uiPriority w:val="1"/>
    <w:pPr>
      <w:ind w:left="720"/>
      <w:contextualSpacing/>
    </w:pPr>
  </w:style>
  <w:style w:type="character" w:customStyle="1" w:styleId="9">
    <w:name w:val="Текст выноски Знак"/>
    <w:basedOn w:val="2"/>
    <w:link w:val="4"/>
    <w:autoRedefine/>
    <w:semiHidden/>
    <w:qFormat/>
    <w:uiPriority w:val="99"/>
    <w:rPr>
      <w:rFonts w:ascii="Tahoma" w:hAnsi="Tahoma" w:eastAsia="Calibri" w:cs="Tahoma"/>
      <w:kern w:val="0"/>
      <w:sz w:val="16"/>
      <w:szCs w:val="16"/>
      <w:lang w:val="uk-UA"/>
      <w14:ligatures w14:val="none"/>
    </w:rPr>
  </w:style>
  <w:style w:type="character" w:customStyle="1" w:styleId="10">
    <w:name w:val="Абзац списка Знак"/>
    <w:link w:val="8"/>
    <w:autoRedefine/>
    <w:qFormat/>
    <w:locked/>
    <w:uiPriority w:val="1"/>
    <w:rPr>
      <w:rFonts w:ascii="Calibri" w:hAnsi="Calibri" w:eastAsia="Calibri" w:cs="Calibr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7564</Words>
  <Characters>4313</Characters>
  <Lines>35</Lines>
  <Paragraphs>23</Paragraphs>
  <TotalTime>123</TotalTime>
  <ScaleCrop>false</ScaleCrop>
  <LinksUpToDate>false</LinksUpToDate>
  <CharactersWithSpaces>11854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2024-04-18T21:22:00Z</dcterms:created>
  <dc:creator>Andriy Snitko</dc:creator>
  <cp:lastModifiedBy>WPS_1706794706</cp:lastModifiedBy>
  <cp:lastPrinted>2024-04-15T06:18:00Z</cp:lastPrinted>
  <dcterms:modified xsi:type="dcterms:W3CDTF">2024-05-06T10:53:12Z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7A699BD366AD4A9591AE073DD8800244_13</vt:lpwstr>
  </property>
</Properties>
</file>