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63" w:rsidRPr="008E42D4" w:rsidRDefault="001C7963" w:rsidP="001C7963">
      <w:pPr>
        <w:spacing w:after="0" w:line="276" w:lineRule="auto"/>
        <w:ind w:left="6380" w:firstLine="700"/>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bCs/>
          <w:sz w:val="24"/>
          <w:szCs w:val="24"/>
          <w:lang w:eastAsia="ru-RU"/>
        </w:rPr>
        <w:t>ДОДАТОК 2</w:t>
      </w:r>
      <w:r w:rsidR="000B4F50">
        <w:rPr>
          <w:rFonts w:ascii="Times New Roman" w:eastAsia="Times New Roman" w:hAnsi="Times New Roman" w:cs="Times New Roman"/>
          <w:b/>
          <w:bCs/>
          <w:sz w:val="24"/>
          <w:szCs w:val="24"/>
          <w:lang w:eastAsia="ru-RU"/>
        </w:rPr>
        <w:t xml:space="preserve"> </w:t>
      </w:r>
    </w:p>
    <w:p w:rsidR="001C7963" w:rsidRPr="008E42D4" w:rsidRDefault="001C7963" w:rsidP="001C7963">
      <w:pPr>
        <w:spacing w:after="0" w:line="276" w:lineRule="auto"/>
        <w:rPr>
          <w:rFonts w:ascii="Times New Roman" w:eastAsia="Times New Roman" w:hAnsi="Times New Roman" w:cs="Times New Roman"/>
          <w:i/>
          <w:iCs/>
          <w:sz w:val="24"/>
          <w:szCs w:val="24"/>
          <w:lang w:eastAsia="ru-RU"/>
        </w:rPr>
      </w:pP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t>до тендерної документації</w:t>
      </w:r>
    </w:p>
    <w:p w:rsidR="001C7963" w:rsidRPr="008E42D4" w:rsidRDefault="001C7963" w:rsidP="001C7963">
      <w:pPr>
        <w:tabs>
          <w:tab w:val="left" w:pos="1400"/>
        </w:tabs>
        <w:spacing w:after="0" w:line="240" w:lineRule="auto"/>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356C" w:rsidRPr="008E42D4" w:rsidRDefault="001C7963" w:rsidP="00DE356C">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1C7963" w:rsidRDefault="00DE356C" w:rsidP="00DE356C">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 xml:space="preserve">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A741E" w:rsidRDefault="005A741E" w:rsidP="00DE356C">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5A741E">
        <w:rPr>
          <w:rFonts w:ascii="Times New Roman" w:eastAsia="Times New Roman" w:hAnsi="Times New Roman" w:cs="Times New Roman"/>
          <w:sz w:val="24"/>
          <w:szCs w:val="24"/>
          <w:lang w:eastAsia="ru-RU"/>
        </w:rPr>
        <w:t>Обґрунтування нео</w:t>
      </w:r>
      <w:r>
        <w:rPr>
          <w:rFonts w:ascii="Times New Roman" w:eastAsia="Times New Roman" w:hAnsi="Times New Roman" w:cs="Times New Roman"/>
          <w:sz w:val="24"/>
          <w:szCs w:val="24"/>
          <w:lang w:eastAsia="ru-RU"/>
        </w:rPr>
        <w:t>бхідності посилання на конкретні технічні характеристики</w:t>
      </w:r>
      <w:r w:rsidRPr="005A741E">
        <w:rPr>
          <w:rFonts w:ascii="Times New Roman" w:eastAsia="Times New Roman" w:hAnsi="Times New Roman" w:cs="Times New Roman"/>
          <w:sz w:val="24"/>
          <w:szCs w:val="24"/>
          <w:lang w:eastAsia="ru-RU"/>
        </w:rPr>
        <w:t xml:space="preserve"> — замовник здійснює закупівлю товару із встановленням </w:t>
      </w:r>
      <w:r>
        <w:rPr>
          <w:rFonts w:ascii="Times New Roman" w:eastAsia="Times New Roman" w:hAnsi="Times New Roman" w:cs="Times New Roman"/>
          <w:sz w:val="24"/>
          <w:szCs w:val="24"/>
          <w:lang w:eastAsia="ru-RU"/>
        </w:rPr>
        <w:t>даних технічних характеристик та параметрів</w:t>
      </w:r>
      <w:r w:rsidRPr="005A741E">
        <w:rPr>
          <w:rFonts w:ascii="Times New Roman" w:eastAsia="Times New Roman" w:hAnsi="Times New Roman" w:cs="Times New Roman"/>
          <w:sz w:val="24"/>
          <w:szCs w:val="24"/>
          <w:lang w:eastAsia="ru-RU"/>
        </w:rPr>
        <w:t xml:space="preserve">, оскільки таке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w:t>
      </w:r>
      <w:r w:rsidR="00AC3B2C" w:rsidRPr="00AC3B2C">
        <w:rPr>
          <w:rFonts w:ascii="Times New Roman" w:eastAsia="Times New Roman" w:hAnsi="Times New Roman" w:cs="Times New Roman"/>
          <w:sz w:val="24"/>
          <w:szCs w:val="24"/>
          <w:lang w:eastAsia="ru-RU"/>
        </w:rPr>
        <w:t xml:space="preserve">Закупівля здійснюється з метою належного та комфортного перебування в лікарні лежачих та інших пацієнтів. </w:t>
      </w:r>
      <w:r w:rsidRPr="005A741E">
        <w:rPr>
          <w:rFonts w:ascii="Times New Roman" w:eastAsia="Times New Roman" w:hAnsi="Times New Roman" w:cs="Times New Roman"/>
          <w:sz w:val="24"/>
          <w:szCs w:val="24"/>
          <w:lang w:eastAsia="ru-RU"/>
        </w:rPr>
        <w:t>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AB2013" w:rsidRPr="008E42D4" w:rsidRDefault="00E91AE8" w:rsidP="00E91AE8">
      <w:pPr>
        <w:tabs>
          <w:tab w:val="left" w:pos="1400"/>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1</w:t>
      </w:r>
    </w:p>
    <w:p w:rsidR="001C7963" w:rsidRPr="008E42D4"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ТЕХНІЧНА СПЕЦИФІКАЦІЯ</w:t>
      </w:r>
    </w:p>
    <w:p w:rsidR="001C7963" w:rsidRPr="008E42D4"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p w:rsidR="00431999" w:rsidRDefault="00431999" w:rsidP="00431999">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 xml:space="preserve">Медико-технічні характеристики </w:t>
      </w:r>
    </w:p>
    <w:p w:rsidR="00D63133" w:rsidRDefault="00D63133" w:rsidP="00431999">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tbl>
      <w:tblPr>
        <w:tblW w:w="9776" w:type="dxa"/>
        <w:tblLayout w:type="fixed"/>
        <w:tblLook w:val="04A0" w:firstRow="1" w:lastRow="0" w:firstColumn="1" w:lastColumn="0" w:noHBand="0" w:noVBand="1"/>
      </w:tblPr>
      <w:tblGrid>
        <w:gridCol w:w="1413"/>
        <w:gridCol w:w="1275"/>
        <w:gridCol w:w="1135"/>
        <w:gridCol w:w="2126"/>
        <w:gridCol w:w="1559"/>
        <w:gridCol w:w="1134"/>
        <w:gridCol w:w="1134"/>
      </w:tblGrid>
      <w:tr w:rsidR="00E91AE8" w:rsidRPr="00D63133" w:rsidTr="00E91AE8">
        <w:trPr>
          <w:trHeight w:val="159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Назва предмету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1AE8" w:rsidRPr="00D63133" w:rsidRDefault="00E91AE8" w:rsidP="00AB7BA0">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Назва бажаного товару (або еквівалент)</w:t>
            </w:r>
          </w:p>
        </w:tc>
        <w:tc>
          <w:tcPr>
            <w:tcW w:w="1135" w:type="dxa"/>
            <w:tcBorders>
              <w:top w:val="single" w:sz="4" w:space="0" w:color="auto"/>
              <w:left w:val="nil"/>
              <w:bottom w:val="single" w:sz="4" w:space="0" w:color="auto"/>
              <w:right w:val="single" w:sz="4" w:space="0" w:color="auto"/>
            </w:tcBorders>
            <w:shd w:val="clear" w:color="auto" w:fill="auto"/>
            <w:vAlign w:val="center"/>
          </w:tcPr>
          <w:p w:rsidR="00E91AE8" w:rsidRPr="00AB7BA0" w:rsidRDefault="00E91AE8" w:rsidP="00D63133">
            <w:pPr>
              <w:spacing w:after="0" w:line="240" w:lineRule="auto"/>
              <w:jc w:val="center"/>
              <w:rPr>
                <w:rFonts w:ascii="Times New Roman" w:eastAsia="Times New Roman" w:hAnsi="Times New Roman" w:cs="Times New Roman"/>
                <w:sz w:val="18"/>
                <w:szCs w:val="18"/>
                <w:lang w:val="ru-RU" w:eastAsia="ru-RU"/>
              </w:rPr>
            </w:pPr>
            <w:r w:rsidRPr="00AB7BA0">
              <w:rPr>
                <w:rFonts w:ascii="Times New Roman" w:eastAsia="Times New Roman" w:hAnsi="Times New Roman" w:cs="Times New Roman"/>
                <w:bCs/>
                <w:sz w:val="18"/>
                <w:szCs w:val="18"/>
                <w:lang w:eastAsia="ru-RU"/>
              </w:rPr>
              <w:t>Форма випуску</w:t>
            </w:r>
          </w:p>
        </w:tc>
        <w:tc>
          <w:tcPr>
            <w:tcW w:w="2126" w:type="dxa"/>
            <w:tcBorders>
              <w:top w:val="single" w:sz="4" w:space="0" w:color="auto"/>
              <w:left w:val="nil"/>
              <w:bottom w:val="single" w:sz="4" w:space="0" w:color="auto"/>
              <w:right w:val="single" w:sz="4" w:space="0" w:color="auto"/>
            </w:tcBorders>
            <w:shd w:val="clear" w:color="auto" w:fill="auto"/>
            <w:vAlign w:val="center"/>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Діюча речовина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Вимоги до пакування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eastAsia="ru-RU"/>
              </w:rPr>
              <w:t>Код АТХ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Кількість</w:t>
            </w:r>
          </w:p>
        </w:tc>
      </w:tr>
      <w:tr w:rsidR="00E91AE8" w:rsidRPr="00D63133" w:rsidTr="00E91AE8">
        <w:trPr>
          <w:trHeight w:val="159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Сорбітол укомбінаціях з натрію лактату та/або електролітами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РЕОСОРБІЛАКТ®</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інфузій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сорбітолу 60,0 мг, натрію лактату 19,0 мг, натрію хлориду 6,0 мг, кальцію хлориду дигідрату 0,1 мг, калію хлориду 0,3 мг, магнію хлориду гексагідрату 0,2 мг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200 мл у пляшках скляних. Маркування українською мовою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B05BB04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50</w:t>
            </w:r>
          </w:p>
        </w:tc>
      </w:tr>
      <w:tr w:rsidR="00E91AE8" w:rsidRPr="00D63133" w:rsidTr="00E91AE8">
        <w:trPr>
          <w:trHeight w:val="94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Пентоксифілін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Латрен®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інфузій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0,5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200 мл у пляшках з маркуванням українською та </w:t>
            </w:r>
            <w:r w:rsidRPr="00D63133">
              <w:rPr>
                <w:rFonts w:ascii="Times New Roman" w:eastAsia="Times New Roman" w:hAnsi="Times New Roman" w:cs="Times New Roman"/>
                <w:sz w:val="18"/>
                <w:szCs w:val="18"/>
                <w:lang w:val="ru-RU" w:eastAsia="ru-RU"/>
              </w:rPr>
              <w:lastRenderedPageBreak/>
              <w:t>англійською мовами</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lastRenderedPageBreak/>
              <w:t>C04AD03</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50</w:t>
            </w:r>
          </w:p>
        </w:tc>
      </w:tr>
      <w:tr w:rsidR="00E91AE8" w:rsidRPr="00D63133" w:rsidTr="00E91AE8">
        <w:trPr>
          <w:trHeight w:val="99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lastRenderedPageBreak/>
              <w:t>Аргініну гідрохлорид</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ТІВОРТІН®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інфузій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42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100 мл у пляшці; по 1 пляшці у пачці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B05XB01</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80</w:t>
            </w:r>
          </w:p>
        </w:tc>
      </w:tr>
      <w:tr w:rsidR="00E91AE8" w:rsidRPr="00D63133" w:rsidTr="00E91AE8">
        <w:trPr>
          <w:trHeight w:val="157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Мелоксикам</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РЕВМАСТОП</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 10 мг/мл</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мл розчину містить мелоксикаму 10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482D6E">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1,5 мл в ампулі з маркуванням українською та англійською мовами; по 5 ампул в пачці з маркуванням українською, та англійською мовами</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M01AC06</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25</w:t>
            </w:r>
          </w:p>
        </w:tc>
      </w:tr>
      <w:tr w:rsidR="00E91AE8" w:rsidRPr="00D63133" w:rsidTr="00E91AE8">
        <w:trPr>
          <w:trHeight w:val="111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Декскетопрофен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СЕРТОФЕН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 мг/2 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5 ампул у контурній чарунковій упаковці; по 1 контурній чарунковій упаковці в картонній коробці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M01AE17</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25</w:t>
            </w:r>
          </w:p>
        </w:tc>
      </w:tr>
      <w:tr w:rsidR="00E91AE8" w:rsidRPr="00D63133" w:rsidTr="00E91AE8">
        <w:trPr>
          <w:trHeight w:val="123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Розчини для корекції електролітного балансу</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НЕЙРОЦИТИН®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інфузій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Цитиколіну натрію - 10 мг, натрію хлориду - 6 мг, калію хлориду - 0,4 мг, кальцію хлориду дигідрату - 0,27 мг, натрію лактату - 3,2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100 мл у пляшці; по 1 пляшці в пачці. Маркування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B05BB04</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w:t>
            </w:r>
          </w:p>
        </w:tc>
      </w:tr>
      <w:tr w:rsidR="00E91AE8" w:rsidRPr="00D63133" w:rsidTr="00E91AE8">
        <w:trPr>
          <w:trHeight w:val="142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тіамін (монопрепарат та в комбінації з піридоксином та ціанокобаламіном)</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ВІТАКСОН®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мл розчину містить: тіаміну гідрохлориду 50 мг, піридоксину гідрохлориду 50 мг, ціанокабаламіну 0,5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482D6E">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2 мл в ампулі; по 5 ампул в блістері; по 1 блістеру в пачці з картону з маркуванням українською </w:t>
            </w:r>
            <w:r w:rsidR="00482D6E">
              <w:rPr>
                <w:rFonts w:ascii="Times New Roman" w:eastAsia="Times New Roman" w:hAnsi="Times New Roman" w:cs="Times New Roman"/>
                <w:sz w:val="18"/>
                <w:szCs w:val="18"/>
                <w:lang w:val="ru-RU" w:eastAsia="ru-RU"/>
              </w:rPr>
              <w:t>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A11DB</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w:t>
            </w:r>
          </w:p>
        </w:tc>
      </w:tr>
      <w:tr w:rsidR="00E91AE8" w:rsidRPr="00D63133" w:rsidTr="00E91AE8">
        <w:trPr>
          <w:trHeight w:val="10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Тіоколхікозид</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МУСКОМЕД</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ампула (2 мл) містить тіоколхікозиду 4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6 ампул в контурній чарунковій упаковці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M03BX05</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w:t>
            </w:r>
          </w:p>
        </w:tc>
      </w:tr>
      <w:tr w:rsidR="00E91AE8" w:rsidRPr="00D63133" w:rsidTr="00E91AE8">
        <w:trPr>
          <w:trHeight w:val="97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Nalbuphine</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НАЛБУФІН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10 мг/мл </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1 мл в ампулах; по 5 ампул у блістері з плівки, по 2 блістери у пачці з картону </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N02AF02</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w:t>
            </w:r>
          </w:p>
        </w:tc>
      </w:tr>
      <w:tr w:rsidR="00E91AE8" w:rsidRPr="00D63133" w:rsidTr="00E91AE8">
        <w:trPr>
          <w:trHeight w:val="82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Nabumetone</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СІНМЕТОН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таблетки, вкриті оболонкою </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500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3 блістери в пачці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M01AX01</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30</w:t>
            </w:r>
          </w:p>
        </w:tc>
      </w:tr>
      <w:tr w:rsidR="00E91AE8" w:rsidRPr="00D63133" w:rsidTr="00E91AE8">
        <w:trPr>
          <w:trHeight w:val="7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Бетагістин</w:t>
            </w:r>
          </w:p>
        </w:tc>
        <w:tc>
          <w:tcPr>
            <w:tcW w:w="1275"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Бетагістин-КВ</w:t>
            </w:r>
          </w:p>
        </w:tc>
        <w:tc>
          <w:tcPr>
            <w:tcW w:w="1135"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w:t>
            </w:r>
          </w:p>
        </w:tc>
        <w:tc>
          <w:tcPr>
            <w:tcW w:w="2126"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24 мг</w:t>
            </w:r>
          </w:p>
        </w:tc>
        <w:tc>
          <w:tcPr>
            <w:tcW w:w="1559"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3 блістери у пачці.</w:t>
            </w:r>
          </w:p>
        </w:tc>
        <w:tc>
          <w:tcPr>
            <w:tcW w:w="1134"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N07CA01</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w:t>
            </w:r>
          </w:p>
        </w:tc>
      </w:tr>
      <w:tr w:rsidR="00E91AE8" w:rsidRPr="00D63133" w:rsidTr="00E91AE8">
        <w:trPr>
          <w:trHeight w:val="9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Діосмін в комбінації</w:t>
            </w:r>
          </w:p>
        </w:tc>
        <w:tc>
          <w:tcPr>
            <w:tcW w:w="1275"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НОРМОВЕН</w:t>
            </w:r>
          </w:p>
        </w:tc>
        <w:tc>
          <w:tcPr>
            <w:tcW w:w="1135"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вкриті плівковою оболонкою</w:t>
            </w:r>
          </w:p>
        </w:tc>
        <w:tc>
          <w:tcPr>
            <w:tcW w:w="2126"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таблетка містить флавоноїдної фракції 500 мг, яка містить діосміну 450 мг, гесперидину 50 мг</w:t>
            </w:r>
          </w:p>
        </w:tc>
        <w:tc>
          <w:tcPr>
            <w:tcW w:w="1559"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12 таблеток у блістері, по 5 блістерів у пачці</w:t>
            </w:r>
          </w:p>
        </w:tc>
        <w:tc>
          <w:tcPr>
            <w:tcW w:w="1134"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C05CA53</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E91AE8" w:rsidRPr="00D63133" w:rsidTr="00E91AE8">
        <w:trPr>
          <w:trHeight w:val="129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Прамірацетам</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ПРАМІСТАР</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вкриті плівковою оболонкою</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600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 20 (10х2) в блістерах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N06BX16</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E91AE8" w:rsidRPr="00D63133" w:rsidTr="00E91AE8">
        <w:trPr>
          <w:trHeight w:val="112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lastRenderedPageBreak/>
              <w:t>Кетопрофен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ФАСТУМ® ГЕЛЬ</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гель 2,5 %</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г гелю містить кетопрофену 0,025 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гель по 50 г у тубах № 1 у картонній коробці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 M02AA10</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E91AE8" w:rsidRPr="00D63133" w:rsidTr="00E91AE8">
        <w:trPr>
          <w:trHeight w:val="129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Напроксен </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НАПРОФФ</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вкриті плівковою оболонкою</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550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1 блістеру в картонній коробці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M01AE02</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10</w:t>
            </w:r>
          </w:p>
        </w:tc>
      </w:tr>
      <w:tr w:rsidR="00E91AE8" w:rsidRPr="00D63133" w:rsidTr="00E91AE8">
        <w:trPr>
          <w:trHeight w:val="130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Mexidol*</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ЕЛФУНАТ</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ін`єкційі</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5 ампул в контурній чарунковій упаковці; по 2 контурні чарункові упаковки в картонній коробці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N07XX</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w:t>
            </w:r>
          </w:p>
        </w:tc>
      </w:tr>
      <w:tr w:rsidR="00E91AE8" w:rsidRPr="00D63133" w:rsidTr="00E91AE8">
        <w:trPr>
          <w:trHeight w:val="115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Німесулід </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НІМЕСИЛ®</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гранули для оральної суспензії</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100 мг/2 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30 пакетів у картонній коробці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M01AX17</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E91AE8" w:rsidRPr="00D63133" w:rsidTr="00E91AE8">
        <w:trPr>
          <w:trHeight w:val="136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Triamcinolone</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КЕНАЛОГ 40</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суспензія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40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ампулі; по 5 ампул у блістері; по 1 блістеру в картонній коробці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H02AB08</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E91AE8" w:rsidRPr="00D63133" w:rsidTr="00E91AE8">
        <w:trPr>
          <w:trHeight w:val="148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Пірацетам (монопрепарат та в комбінаціях: з цинаризином; з тіотриазоліном)</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ТІОЦЕТАМ®</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100 мг/25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5 мл в ампулі, по 5 ампул в блістері, по 2 блістери в пачці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N06BX</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E91AE8" w:rsidRPr="00D63133" w:rsidTr="00E91AE8">
        <w:trPr>
          <w:trHeight w:val="17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Мельдонію дигідрат</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МІЛДРОНАТ®</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розчин для ін’єкцій </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0,5 г/5мл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482D6E">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5 мл в ампулі; по 5 ампул у контурній чарунковій упаковці (піддоні); по 2 контурні чарункові упаковки (піддони) в пачці з картону з маркуванням українською </w:t>
            </w:r>
            <w:r w:rsidR="00482D6E">
              <w:rPr>
                <w:rFonts w:ascii="Times New Roman" w:eastAsia="Times New Roman" w:hAnsi="Times New Roman" w:cs="Times New Roman"/>
                <w:sz w:val="18"/>
                <w:szCs w:val="18"/>
                <w:lang w:val="ru-RU" w:eastAsia="ru-RU"/>
              </w:rPr>
              <w:t>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С01ЕВ22</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40</w:t>
            </w:r>
          </w:p>
        </w:tc>
      </w:tr>
      <w:tr w:rsidR="00E91AE8" w:rsidRPr="00D63133" w:rsidTr="00E91AE8">
        <w:trPr>
          <w:trHeight w:val="13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Тіотриазолін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ТІОТРИАЗОЛІН®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25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10 ампул у контурній чарунковій упаковці; по 1 контурній чарунковій упаковці в пачці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С01EB</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E91AE8" w:rsidRPr="00D63133" w:rsidTr="00E91AE8">
        <w:trPr>
          <w:trHeight w:val="121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Пантопразол</w:t>
            </w:r>
          </w:p>
        </w:tc>
        <w:tc>
          <w:tcPr>
            <w:tcW w:w="1275" w:type="dxa"/>
            <w:tcBorders>
              <w:top w:val="nil"/>
              <w:left w:val="nil"/>
              <w:bottom w:val="single" w:sz="4" w:space="0" w:color="auto"/>
              <w:right w:val="single" w:sz="4" w:space="0" w:color="auto"/>
            </w:tcBorders>
            <w:shd w:val="clear" w:color="000000" w:fill="FFFFFF"/>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ЗОЛОПЕНТ®</w:t>
            </w:r>
          </w:p>
        </w:tc>
        <w:tc>
          <w:tcPr>
            <w:tcW w:w="1135" w:type="dxa"/>
            <w:tcBorders>
              <w:top w:val="nil"/>
              <w:left w:val="nil"/>
              <w:bottom w:val="single" w:sz="4" w:space="0" w:color="auto"/>
              <w:right w:val="single" w:sz="4" w:space="0" w:color="auto"/>
            </w:tcBorders>
            <w:shd w:val="clear" w:color="000000" w:fill="FFFFFF"/>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вкриті оболонкою, кишковорозчинні</w:t>
            </w:r>
          </w:p>
        </w:tc>
        <w:tc>
          <w:tcPr>
            <w:tcW w:w="2126" w:type="dxa"/>
            <w:tcBorders>
              <w:top w:val="nil"/>
              <w:left w:val="nil"/>
              <w:bottom w:val="single" w:sz="4" w:space="0" w:color="auto"/>
              <w:right w:val="single" w:sz="4" w:space="0" w:color="auto"/>
            </w:tcBorders>
            <w:shd w:val="clear" w:color="000000" w:fill="FFFFFF"/>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40 мг</w:t>
            </w:r>
          </w:p>
        </w:tc>
        <w:tc>
          <w:tcPr>
            <w:tcW w:w="1559" w:type="dxa"/>
            <w:tcBorders>
              <w:top w:val="nil"/>
              <w:left w:val="nil"/>
              <w:bottom w:val="single" w:sz="4" w:space="0" w:color="auto"/>
              <w:right w:val="single" w:sz="4" w:space="0" w:color="auto"/>
            </w:tcBorders>
            <w:shd w:val="clear" w:color="000000" w:fill="FFFFFF"/>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3 блістери у картонній упаковці</w:t>
            </w:r>
          </w:p>
        </w:tc>
        <w:tc>
          <w:tcPr>
            <w:tcW w:w="1134" w:type="dxa"/>
            <w:tcBorders>
              <w:top w:val="nil"/>
              <w:left w:val="nil"/>
              <w:bottom w:val="single" w:sz="4" w:space="0" w:color="auto"/>
              <w:right w:val="single" w:sz="4" w:space="0" w:color="auto"/>
            </w:tcBorders>
            <w:shd w:val="clear" w:color="000000" w:fill="FFFFFF"/>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А02ВС02</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30</w:t>
            </w:r>
          </w:p>
        </w:tc>
      </w:tr>
      <w:tr w:rsidR="00E91AE8" w:rsidRPr="00D63133" w:rsidTr="00E91AE8">
        <w:trPr>
          <w:trHeight w:val="163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lastRenderedPageBreak/>
              <w:t>Lornoxicam</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КСЕФОКАМ®</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порошок для розчину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8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 флаконів з порошком у картонній коробці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M01AC05</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w:t>
            </w:r>
          </w:p>
        </w:tc>
      </w:tr>
      <w:tr w:rsidR="00E91AE8" w:rsidRPr="00D63133" w:rsidTr="00E91AE8">
        <w:trPr>
          <w:trHeight w:val="159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Едаравон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КСАВРОН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1,5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20 мл в ампулах скляних; по 2 ампули у контурній чарунковій упаковці; по 1 контурній чарунковій упаковці у пачці з картону. Маркування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N07XX</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w:t>
            </w:r>
          </w:p>
        </w:tc>
      </w:tr>
      <w:tr w:rsidR="00E91AE8" w:rsidRPr="00D63133" w:rsidTr="00E91AE8">
        <w:trPr>
          <w:trHeight w:val="199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Бетаметазон (монопрепарат та його комбінації)</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ДЕПОС</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суспензія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мл суспензії містить бетаметазону дипропіонату 6,43 мг у перерахуванні на 100 % суху речовину (що еквівалентно 5 мг бетаметазону), бетаметазону натрію фосфату 2,63 мг у перерахуванні на 100 % безводну речовину (що еквівалентно 2 мг бетаметазону)</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482D6E">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1 мл в ампулі; по 5 ампул у блістері; по 1 блістеру в пачці з картону з маркуванням українською </w:t>
            </w:r>
            <w:r w:rsidR="00482D6E">
              <w:rPr>
                <w:rFonts w:ascii="Times New Roman" w:eastAsia="Times New Roman" w:hAnsi="Times New Roman" w:cs="Times New Roman"/>
                <w:sz w:val="18"/>
                <w:szCs w:val="18"/>
                <w:lang w:val="ru-RU" w:eastAsia="ru-RU"/>
              </w:rPr>
              <w:t>мовою</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H02AB01</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w:t>
            </w:r>
          </w:p>
        </w:tc>
      </w:tr>
      <w:tr w:rsidR="00E91AE8" w:rsidRPr="00D63133" w:rsidTr="00E91AE8">
        <w:trPr>
          <w:trHeight w:val="139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Chondroitin sulfate</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ХОНДРОСАТ</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 100 мг/мл</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ампула (2 мл) містить хондроїтину сульфату натрію в перерахунку на суху речовину 200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 по 5 ампул у блістері; по 2 блістери в пачці з картону</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M01AX25</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w:t>
            </w:r>
          </w:p>
        </w:tc>
      </w:tr>
      <w:tr w:rsidR="00E91AE8" w:rsidRPr="00D63133" w:rsidTr="00E91AE8">
        <w:trPr>
          <w:trHeight w:val="157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Дифенгідрамін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ДИМЕДРОЛ-ДАРНИЦЯ</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1 мл в ампулі; по 10 ампул у коробці; по 5 ампул у контурній чарунковій упаковці; по 2 контурні чарункові упаковки у пачці; </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R06АА02</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50</w:t>
            </w:r>
          </w:p>
        </w:tc>
      </w:tr>
      <w:tr w:rsidR="00E91AE8" w:rsidRPr="00D63133" w:rsidTr="00E91AE8">
        <w:trPr>
          <w:trHeight w:val="1605"/>
        </w:trPr>
        <w:tc>
          <w:tcPr>
            <w:tcW w:w="1413" w:type="dxa"/>
            <w:tcBorders>
              <w:top w:val="nil"/>
              <w:left w:val="single" w:sz="4" w:space="0" w:color="auto"/>
              <w:bottom w:val="single" w:sz="4" w:space="0" w:color="auto"/>
              <w:right w:val="single" w:sz="4" w:space="0" w:color="auto"/>
            </w:tcBorders>
            <w:shd w:val="clear" w:color="FFFFCC"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Гепарин натрію</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Ліотромб 1000-Здоров'я </w:t>
            </w:r>
          </w:p>
        </w:tc>
        <w:tc>
          <w:tcPr>
            <w:tcW w:w="1135" w:type="dxa"/>
            <w:tcBorders>
              <w:top w:val="nil"/>
              <w:left w:val="nil"/>
              <w:bottom w:val="single" w:sz="4" w:space="0" w:color="auto"/>
              <w:right w:val="single" w:sz="4" w:space="0" w:color="auto"/>
            </w:tcBorders>
            <w:shd w:val="clear" w:color="FFFFCC"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гель, 1000 МО/г  </w:t>
            </w:r>
          </w:p>
        </w:tc>
        <w:tc>
          <w:tcPr>
            <w:tcW w:w="2126" w:type="dxa"/>
            <w:tcBorders>
              <w:top w:val="nil"/>
              <w:left w:val="nil"/>
              <w:bottom w:val="single" w:sz="4" w:space="0" w:color="auto"/>
              <w:right w:val="single" w:sz="4" w:space="0" w:color="auto"/>
            </w:tcBorders>
            <w:shd w:val="clear" w:color="FFFFCC"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г препарату містить гепарину натрію 1000 МО</w:t>
            </w:r>
          </w:p>
        </w:tc>
        <w:tc>
          <w:tcPr>
            <w:tcW w:w="1559" w:type="dxa"/>
            <w:tcBorders>
              <w:top w:val="nil"/>
              <w:left w:val="nil"/>
              <w:bottom w:val="single" w:sz="4" w:space="0" w:color="auto"/>
              <w:right w:val="single" w:sz="4" w:space="0" w:color="auto"/>
            </w:tcBorders>
            <w:shd w:val="clear" w:color="FFFFCC"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50 г у тубі; по 1 тубі в коробці</w:t>
            </w:r>
          </w:p>
        </w:tc>
        <w:tc>
          <w:tcPr>
            <w:tcW w:w="1134" w:type="dxa"/>
            <w:tcBorders>
              <w:top w:val="nil"/>
              <w:left w:val="nil"/>
              <w:bottom w:val="single" w:sz="4" w:space="0" w:color="auto"/>
              <w:right w:val="single" w:sz="4" w:space="0" w:color="auto"/>
            </w:tcBorders>
            <w:shd w:val="clear" w:color="FFFFCC"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C05BA03</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E91AE8" w:rsidRPr="00D63133" w:rsidTr="00E91AE8">
        <w:trPr>
          <w:trHeight w:val="123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Алое</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Алое екстракт рідкий</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екстракт рідкий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алое екстракту сухого у перерахунку на 100% вміст солей кальцію і магнію органічних кислот у сухій речовині - 2,25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ампулах; по 10 ампул у пачці з картону</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А16АХ</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E91AE8" w:rsidRPr="00D63133" w:rsidTr="00E91AE8">
        <w:trPr>
          <w:trHeight w:val="163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Вінпоцетин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ВІНПОЦЕТИН-ДАРНИЦЯ</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концентрат для приготування розчину для інфузій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2 мл в ампулі; по 5 ампул в контурній чарунковій упаковці; по 2 контурні чарункові упаковки в пачці; по 2 мл в ампулі; по 10 </w:t>
            </w:r>
            <w:r w:rsidRPr="00D63133">
              <w:rPr>
                <w:rFonts w:ascii="Times New Roman" w:eastAsia="Times New Roman" w:hAnsi="Times New Roman" w:cs="Times New Roman"/>
                <w:sz w:val="18"/>
                <w:szCs w:val="18"/>
                <w:lang w:val="ru-RU" w:eastAsia="ru-RU"/>
              </w:rPr>
              <w:lastRenderedPageBreak/>
              <w:t>ампул в контурній чарунковій упаковці; по 1 контурній чарунковій упаковці в пачці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lastRenderedPageBreak/>
              <w:t>N06ВХ18</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E91AE8" w:rsidRPr="00D63133" w:rsidTr="00E91AE8">
        <w:trPr>
          <w:trHeight w:val="10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lastRenderedPageBreak/>
              <w:t>L-лізину есцинат</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L-ЛІЗИНУ ЕСЦИНАТ®</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5 мл в ампулі; по 5 ампул у блістері; по 2 блістери в пачці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C05CX</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30</w:t>
            </w:r>
          </w:p>
        </w:tc>
      </w:tr>
      <w:tr w:rsidR="00E91AE8" w:rsidRPr="00D63133" w:rsidTr="00E91AE8">
        <w:trPr>
          <w:trHeight w:val="109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Іпідакрин гідрохлорид</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МЕДІАТОРН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15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ампулі, по 10 ампул у контурній чарунковій упаковці, по 1 контурній чарунковій упаковці в пачці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N07AA</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E91AE8" w:rsidRPr="00D63133" w:rsidTr="00E91AE8">
        <w:trPr>
          <w:trHeight w:val="8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Пароксикам-бетадекс</w:t>
            </w:r>
          </w:p>
        </w:tc>
        <w:tc>
          <w:tcPr>
            <w:tcW w:w="127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БРЕКСІН®</w:t>
            </w:r>
          </w:p>
        </w:tc>
        <w:tc>
          <w:tcPr>
            <w:tcW w:w="113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w:t>
            </w:r>
          </w:p>
        </w:tc>
        <w:tc>
          <w:tcPr>
            <w:tcW w:w="2126"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 мг</w:t>
            </w:r>
          </w:p>
        </w:tc>
        <w:tc>
          <w:tcPr>
            <w:tcW w:w="1559"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1 блістері в пачці з картону</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M01AC01</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30</w:t>
            </w:r>
          </w:p>
        </w:tc>
      </w:tr>
      <w:tr w:rsidR="00E91AE8" w:rsidRPr="00D63133" w:rsidTr="00E91AE8">
        <w:trPr>
          <w:trHeight w:val="15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Толперизон (монопрепарат та його комбінація з лідокаїном)</w:t>
            </w:r>
          </w:p>
        </w:tc>
        <w:tc>
          <w:tcPr>
            <w:tcW w:w="1275" w:type="dxa"/>
            <w:tcBorders>
              <w:top w:val="nil"/>
              <w:left w:val="nil"/>
              <w:bottom w:val="single" w:sz="4" w:space="0" w:color="auto"/>
              <w:right w:val="single" w:sz="4" w:space="0" w:color="auto"/>
            </w:tcBorders>
            <w:shd w:val="clear" w:color="000000" w:fill="FFFFFF"/>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Толперіл-Здоров´я</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мл розчину містить: толперизону гідрохлориду 100 мг, лідокаїну гідрохлориду 2,5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ампулі; по 5 ампул у коробці картонній з перегородками або по 1 мл в ампулі, по 5 ампул у блістері, по 1 блісту в коробці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M03BX04</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w:t>
            </w:r>
          </w:p>
        </w:tc>
      </w:tr>
      <w:tr w:rsidR="00E91AE8" w:rsidRPr="00D63133" w:rsidTr="00E91AE8">
        <w:trPr>
          <w:trHeight w:val="9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Sulpiride</w:t>
            </w:r>
          </w:p>
        </w:tc>
        <w:tc>
          <w:tcPr>
            <w:tcW w:w="127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ЕГЛОНІЛ®</w:t>
            </w:r>
          </w:p>
        </w:tc>
        <w:tc>
          <w:tcPr>
            <w:tcW w:w="113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100 мг/2 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6: по 2 мл в ампулі; по 6 ампул у контурних чарунках у картонній коробці</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N05AL01</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E91AE8" w:rsidRPr="00D63133" w:rsidTr="00E91AE8">
        <w:trPr>
          <w:trHeight w:val="15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Дифенгідрамін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Димедрол</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ампулі; по 10 ампул у коробці з картону</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R06AA02</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w:t>
            </w:r>
          </w:p>
        </w:tc>
      </w:tr>
      <w:tr w:rsidR="00E91AE8" w:rsidRPr="00D63133" w:rsidTr="00E91AE8">
        <w:trPr>
          <w:trHeight w:val="103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Нандролону деканоат</w:t>
            </w:r>
          </w:p>
        </w:tc>
        <w:tc>
          <w:tcPr>
            <w:tcW w:w="127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РЕТАБОЛІЛ</w:t>
            </w:r>
          </w:p>
        </w:tc>
        <w:tc>
          <w:tcPr>
            <w:tcW w:w="113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50 мг/мл</w:t>
            </w:r>
          </w:p>
        </w:tc>
        <w:tc>
          <w:tcPr>
            <w:tcW w:w="1559"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по 1 мл в ампулах № 1</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A14AB01</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w:t>
            </w:r>
          </w:p>
        </w:tc>
      </w:tr>
      <w:tr w:rsidR="00E91AE8" w:rsidRPr="00D63133" w:rsidTr="00E91AE8">
        <w:trPr>
          <w:trHeight w:val="103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Церебролізин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Церебролізин®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 мл (2152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 ампул</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N06BX</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w:t>
            </w:r>
          </w:p>
        </w:tc>
      </w:tr>
      <w:tr w:rsidR="00E91AE8" w:rsidRPr="00D63133" w:rsidTr="00E91AE8">
        <w:trPr>
          <w:trHeight w:val="103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Сульфокамфокаїн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СУЛЬФОКАМФОКАЇН-ДАРНИЦЯ</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100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5 ампул у контурній чарунковій упаковці; по 2 контурні чарункові упаковки в пачці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C01EB</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E91AE8" w:rsidRPr="00D63133" w:rsidTr="00E91AE8">
        <w:trPr>
          <w:trHeight w:val="183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lastRenderedPageBreak/>
              <w:t>ХЛОРОПІРАМІН</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СУПРАСТИН</w:t>
            </w:r>
            <w:r w:rsidRPr="00D63133">
              <w:rPr>
                <w:rFonts w:ascii="Times New Roman" w:eastAsia="Times New Roman" w:hAnsi="Times New Roman" w:cs="Times New Roman"/>
                <w:sz w:val="18"/>
                <w:szCs w:val="18"/>
                <w:lang w:val="ru-RU" w:eastAsia="ru-RU"/>
              </w:rPr>
              <w:t>®</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по 1 мл в ампулі; по 5 ампул у картонній коробці</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R06AC03</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w:t>
            </w:r>
          </w:p>
        </w:tc>
      </w:tr>
      <w:tr w:rsidR="00E91AE8" w:rsidRPr="00D63133" w:rsidTr="00E91AE8">
        <w:trPr>
          <w:trHeight w:val="13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27AD5" w:rsidRDefault="00E91AE8" w:rsidP="00D63133">
            <w:pPr>
              <w:spacing w:after="0" w:line="240" w:lineRule="auto"/>
              <w:jc w:val="center"/>
              <w:rPr>
                <w:rFonts w:ascii="Times New Roman" w:eastAsia="Times New Roman" w:hAnsi="Times New Roman" w:cs="Times New Roman"/>
                <w:sz w:val="18"/>
                <w:szCs w:val="18"/>
                <w:lang w:eastAsia="ru-RU"/>
              </w:rPr>
            </w:pPr>
            <w:r w:rsidRPr="00D27AD5">
              <w:rPr>
                <w:rFonts w:ascii="Times New Roman" w:eastAsia="Times New Roman" w:hAnsi="Times New Roman" w:cs="Times New Roman"/>
                <w:sz w:val="18"/>
                <w:szCs w:val="18"/>
                <w:lang w:eastAsia="ru-RU"/>
              </w:rPr>
              <w:t>Заліза (ІІІ) гідроксид сахарозний  комплекс,що еквівалентно вмісту заліза 20 мг</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СУФЕР®</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внутрішньовенних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5 мл в ампулі скляні; по 5 ампул у контурній чарунковій упаковці; по 1 контурній чарунковій упаковці у пачці з картону з маркуванням українською мовою</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B03AC02</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w:t>
            </w:r>
          </w:p>
        </w:tc>
      </w:tr>
      <w:tr w:rsidR="00E91AE8" w:rsidRPr="00D63133" w:rsidTr="00E91AE8">
        <w:trPr>
          <w:trHeight w:val="12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Ethanol</w:t>
            </w:r>
          </w:p>
        </w:tc>
        <w:tc>
          <w:tcPr>
            <w:tcW w:w="127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СПИРТОЛ®</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зовнішнього застосування</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96 % (не менше 95,1% і не більше 96,9% етанолу за об’ємом)</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по 100 мл у флаконах</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D08AХ08</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200</w:t>
            </w:r>
          </w:p>
        </w:tc>
      </w:tr>
      <w:tr w:rsidR="00E91AE8" w:rsidRPr="00D63133" w:rsidTr="00E91AE8">
        <w:trPr>
          <w:trHeight w:val="130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Каптоприл + діуретики</w:t>
            </w:r>
          </w:p>
        </w:tc>
        <w:tc>
          <w:tcPr>
            <w:tcW w:w="127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КАПТОПРЕС</w:t>
            </w:r>
          </w:p>
        </w:tc>
        <w:tc>
          <w:tcPr>
            <w:tcW w:w="113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таблетки</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каптоприлу 50 мг, гідрохлоротіазиду 12,5 мг</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контурній чарунковій упаковці, по 2 контурні чарункові упаковки в пачці</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С09ВА01</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w:t>
            </w:r>
          </w:p>
        </w:tc>
      </w:tr>
      <w:tr w:rsidR="00E91AE8" w:rsidRPr="00D63133" w:rsidTr="00E91AE8">
        <w:trPr>
          <w:trHeight w:val="103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Тheophylline</w:t>
            </w:r>
          </w:p>
        </w:tc>
        <w:tc>
          <w:tcPr>
            <w:tcW w:w="127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ЕУФІЛІН</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 мг/мл</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По 5 мл в ампулі; по 5 ампул у контурній чарунковій упаковці; по 2 контурні чарункові упаковки в пачці</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 xml:space="preserve"> R03D A04</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E91AE8" w:rsidRPr="00D63133" w:rsidTr="00E91AE8">
        <w:trPr>
          <w:trHeight w:val="171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 xml:space="preserve">betamethasone </w:t>
            </w:r>
          </w:p>
        </w:tc>
        <w:tc>
          <w:tcPr>
            <w:tcW w:w="1275"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БЕТАФОС</w:t>
            </w:r>
          </w:p>
        </w:tc>
        <w:tc>
          <w:tcPr>
            <w:tcW w:w="1135"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суспензія для ін'єкцій</w:t>
            </w:r>
          </w:p>
        </w:tc>
        <w:tc>
          <w:tcPr>
            <w:tcW w:w="2126"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 xml:space="preserve">1 мл суспензії містить 6,43 мг бетаметазону дипропіонату (еквівалентно 5 мг бетаметазону) та 2,63 мг бетаметазону натрію фосфату (еквівалентно 2 мг бетаметазону) </w:t>
            </w:r>
          </w:p>
        </w:tc>
        <w:tc>
          <w:tcPr>
            <w:tcW w:w="1559"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1 мл суспензії містить 6,43 мг бетаметазону дипропіонату (еквівалентно 5 мг бетаметазону) та 2,63 мг бетаметазону натрію фосфату (еквівалентно 2 мг бетаметазону)</w:t>
            </w:r>
          </w:p>
        </w:tc>
        <w:tc>
          <w:tcPr>
            <w:tcW w:w="1134" w:type="dxa"/>
            <w:tcBorders>
              <w:top w:val="nil"/>
              <w:left w:val="nil"/>
              <w:bottom w:val="single" w:sz="4" w:space="0" w:color="auto"/>
              <w:right w:val="single" w:sz="4" w:space="0" w:color="auto"/>
            </w:tcBorders>
            <w:shd w:val="clear" w:color="auto" w:fill="auto"/>
            <w:noWrap/>
            <w:vAlign w:val="center"/>
            <w:hideMark/>
          </w:tcPr>
          <w:p w:rsidR="00E91AE8" w:rsidRPr="00D63133" w:rsidRDefault="00E91AE8" w:rsidP="00D63133">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 xml:space="preserve">H02A B01 </w:t>
            </w:r>
          </w:p>
        </w:tc>
        <w:tc>
          <w:tcPr>
            <w:tcW w:w="1134" w:type="dxa"/>
            <w:tcBorders>
              <w:top w:val="nil"/>
              <w:left w:val="nil"/>
              <w:bottom w:val="single" w:sz="4" w:space="0" w:color="auto"/>
              <w:right w:val="single" w:sz="4" w:space="0" w:color="auto"/>
            </w:tcBorders>
            <w:shd w:val="clear" w:color="auto" w:fill="auto"/>
            <w:vAlign w:val="center"/>
            <w:hideMark/>
          </w:tcPr>
          <w:p w:rsidR="00E91AE8" w:rsidRPr="00D63133" w:rsidRDefault="00E91AE8" w:rsidP="00D63133">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w:t>
            </w:r>
          </w:p>
        </w:tc>
      </w:tr>
    </w:tbl>
    <w:p w:rsidR="00D63133" w:rsidRDefault="00D63133" w:rsidP="00431999">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p w:rsidR="00431999" w:rsidRDefault="00431999" w:rsidP="00431999">
      <w:pPr>
        <w:spacing w:after="0" w:line="276" w:lineRule="auto"/>
        <w:ind w:firstLine="567"/>
        <w:jc w:val="both"/>
        <w:rPr>
          <w:rFonts w:ascii="Times New Roman" w:eastAsia="Tahoma" w:hAnsi="Times New Roman" w:cs="Times New Roman"/>
          <w:b/>
          <w:color w:val="00000A"/>
          <w:sz w:val="24"/>
          <w:szCs w:val="24"/>
          <w:lang w:eastAsia="zh-CN" w:bidi="hi-IN"/>
        </w:rPr>
      </w:pPr>
      <w:r w:rsidRPr="008E42D4">
        <w:rPr>
          <w:rFonts w:ascii="Times New Roman" w:eastAsia="Tahoma" w:hAnsi="Times New Roman" w:cs="Times New Roman"/>
          <w:b/>
          <w:color w:val="00000A"/>
          <w:sz w:val="24"/>
          <w:szCs w:val="24"/>
          <w:lang w:eastAsia="zh-CN" w:bidi="hi-IN"/>
        </w:rPr>
        <w:t>Загальні вимоги:</w:t>
      </w:r>
    </w:p>
    <w:p w:rsidR="00E91AE8" w:rsidRDefault="00E91AE8" w:rsidP="00431999">
      <w:pPr>
        <w:spacing w:after="0" w:line="276" w:lineRule="auto"/>
        <w:ind w:firstLine="567"/>
        <w:jc w:val="both"/>
        <w:rPr>
          <w:rFonts w:ascii="Times New Roman" w:eastAsia="Tahoma" w:hAnsi="Times New Roman" w:cs="Times New Roman"/>
          <w:b/>
          <w:color w:val="00000A"/>
          <w:sz w:val="24"/>
          <w:szCs w:val="24"/>
          <w:lang w:eastAsia="zh-CN" w:bidi="hi-IN"/>
        </w:rPr>
      </w:pPr>
      <w:r>
        <w:rPr>
          <w:rFonts w:ascii="Times New Roman" w:eastAsia="Tahoma" w:hAnsi="Times New Roman" w:cs="Times New Roman"/>
          <w:b/>
          <w:color w:val="00000A"/>
          <w:sz w:val="24"/>
          <w:szCs w:val="24"/>
          <w:lang w:eastAsia="zh-CN" w:bidi="hi-IN"/>
        </w:rPr>
        <w:t>Дана таблиця заповнюється Учасником:</w:t>
      </w:r>
    </w:p>
    <w:p w:rsidR="00E91AE8" w:rsidRDefault="00E91AE8" w:rsidP="00E91AE8">
      <w:pPr>
        <w:spacing w:before="240" w:after="240"/>
        <w:jc w:val="right"/>
        <w:rPr>
          <w:b/>
          <w:i/>
          <w:color w:val="000000"/>
          <w:sz w:val="24"/>
          <w:szCs w:val="24"/>
        </w:rPr>
      </w:pPr>
      <w:r>
        <w:rPr>
          <w:b/>
          <w:i/>
          <w:sz w:val="24"/>
          <w:szCs w:val="24"/>
        </w:rPr>
        <w:t>Таблиця 2</w:t>
      </w:r>
    </w:p>
    <w:p w:rsidR="00E91AE8" w:rsidRDefault="00E91AE8" w:rsidP="00E91AE8">
      <w:pPr>
        <w:spacing w:before="240" w:after="240"/>
        <w:rPr>
          <w:b/>
          <w:sz w:val="24"/>
          <w:szCs w:val="24"/>
        </w:rPr>
      </w:pPr>
      <w:bookmarkStart w:id="1" w:name="_heading=h.gjdgxs" w:colFirst="0" w:colLast="0"/>
      <w:bookmarkEnd w:id="1"/>
      <w:r>
        <w:rPr>
          <w:b/>
          <w:color w:val="000000"/>
          <w:sz w:val="24"/>
          <w:szCs w:val="24"/>
        </w:rPr>
        <w:t>Заповнює інформацію учасник закупівлі (відповідно до вимог до предмета закупівлі):</w:t>
      </w:r>
    </w:p>
    <w:tbl>
      <w:tblPr>
        <w:tblW w:w="9629" w:type="dxa"/>
        <w:tblLayout w:type="fixed"/>
        <w:tblLook w:val="0400" w:firstRow="0" w:lastRow="0" w:firstColumn="0" w:lastColumn="0" w:noHBand="0" w:noVBand="1"/>
      </w:tblPr>
      <w:tblGrid>
        <w:gridCol w:w="570"/>
        <w:gridCol w:w="1121"/>
        <w:gridCol w:w="993"/>
        <w:gridCol w:w="1275"/>
        <w:gridCol w:w="1134"/>
        <w:gridCol w:w="1134"/>
        <w:gridCol w:w="993"/>
        <w:gridCol w:w="1134"/>
        <w:gridCol w:w="1275"/>
      </w:tblGrid>
      <w:tr w:rsidR="00E91AE8" w:rsidTr="00E91AE8">
        <w:trPr>
          <w:trHeight w:val="198"/>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jc w:val="center"/>
              <w:rPr>
                <w:sz w:val="24"/>
                <w:szCs w:val="24"/>
              </w:rPr>
            </w:pPr>
            <w:r>
              <w:rPr>
                <w:color w:val="000000"/>
                <w:sz w:val="24"/>
                <w:szCs w:val="24"/>
              </w:rPr>
              <w:t>№ з/п</w:t>
            </w:r>
          </w:p>
        </w:tc>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jc w:val="center"/>
              <w:rPr>
                <w:sz w:val="24"/>
                <w:szCs w:val="24"/>
              </w:rPr>
            </w:pPr>
            <w:r>
              <w:rPr>
                <w:color w:val="000000"/>
                <w:sz w:val="24"/>
                <w:szCs w:val="24"/>
              </w:rPr>
              <w:t>Назва МНН</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jc w:val="center"/>
              <w:rPr>
                <w:sz w:val="24"/>
                <w:szCs w:val="24"/>
              </w:rPr>
            </w:pPr>
            <w:r>
              <w:rPr>
                <w:sz w:val="24"/>
                <w:szCs w:val="24"/>
              </w:rPr>
              <w:t>Торгова** назва</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jc w:val="center"/>
            </w:pPr>
            <w:r>
              <w:t>Виробник, країна виробника**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jc w:val="center"/>
              <w:rPr>
                <w:sz w:val="24"/>
                <w:szCs w:val="24"/>
              </w:rPr>
            </w:pPr>
            <w:r>
              <w:rPr>
                <w:color w:val="000000"/>
                <w:sz w:val="24"/>
                <w:szCs w:val="24"/>
              </w:rPr>
              <w:t>Форма випуску*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jc w:val="center"/>
              <w:rPr>
                <w:sz w:val="24"/>
                <w:szCs w:val="24"/>
              </w:rPr>
            </w:pPr>
            <w:r>
              <w:rPr>
                <w:color w:val="000000"/>
                <w:sz w:val="24"/>
                <w:szCs w:val="24"/>
              </w:rPr>
              <w:t>Дозування</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jc w:val="center"/>
              <w:rPr>
                <w:color w:val="000000"/>
                <w:sz w:val="24"/>
                <w:szCs w:val="24"/>
              </w:rPr>
            </w:pPr>
            <w:r>
              <w:rPr>
                <w:sz w:val="24"/>
                <w:szCs w:val="24"/>
              </w:rPr>
              <w:t>Одиниця виміру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jc w:val="center"/>
              <w:rPr>
                <w:sz w:val="24"/>
                <w:szCs w:val="24"/>
              </w:rPr>
            </w:pPr>
            <w:r>
              <w:rPr>
                <w:sz w:val="24"/>
                <w:szCs w:val="24"/>
              </w:rPr>
              <w:t>Кількість, од.***</w:t>
            </w:r>
            <w:r>
              <w:rPr>
                <w:color w:val="000000"/>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tcPr>
          <w:p w:rsidR="00E91AE8" w:rsidRDefault="00E91AE8" w:rsidP="00B95C87">
            <w:pPr>
              <w:jc w:val="center"/>
              <w:rPr>
                <w:sz w:val="24"/>
                <w:szCs w:val="24"/>
              </w:rPr>
            </w:pPr>
            <w:r>
              <w:rPr>
                <w:sz w:val="24"/>
                <w:szCs w:val="24"/>
              </w:rPr>
              <w:t>Пакування</w:t>
            </w:r>
          </w:p>
        </w:tc>
      </w:tr>
      <w:tr w:rsidR="00E91AE8" w:rsidTr="00E91AE8">
        <w:trPr>
          <w:trHeight w:val="198"/>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Pr="0056337E" w:rsidRDefault="00E91AE8" w:rsidP="00B95C87">
            <w:pPr>
              <w:rPr>
                <w:sz w:val="24"/>
                <w:szCs w:val="24"/>
              </w:rPr>
            </w:pPr>
            <w:r>
              <w:rPr>
                <w:sz w:val="24"/>
                <w:szCs w:val="24"/>
              </w:rPr>
              <w:lastRenderedPageBreak/>
              <w:t>1</w:t>
            </w:r>
          </w:p>
        </w:tc>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E91AE8" w:rsidRDefault="00E91AE8" w:rsidP="00B95C87">
            <w:pPr>
              <w:rPr>
                <w:sz w:val="24"/>
                <w:szCs w:val="24"/>
              </w:rPr>
            </w:pPr>
          </w:p>
        </w:tc>
      </w:tr>
      <w:tr w:rsidR="00E91AE8" w:rsidTr="00E91AE8">
        <w:trPr>
          <w:trHeight w:val="198"/>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Pr="0056337E" w:rsidRDefault="00E91AE8" w:rsidP="00B95C87">
            <w:pPr>
              <w:rPr>
                <w:sz w:val="24"/>
                <w:szCs w:val="24"/>
              </w:rPr>
            </w:pPr>
            <w:r>
              <w:rPr>
                <w:sz w:val="24"/>
                <w:szCs w:val="24"/>
              </w:rPr>
              <w:t>2</w:t>
            </w:r>
          </w:p>
        </w:tc>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E91AE8" w:rsidRDefault="00E91AE8" w:rsidP="00B95C87">
            <w:pPr>
              <w:rPr>
                <w:sz w:val="24"/>
                <w:szCs w:val="24"/>
              </w:rPr>
            </w:pPr>
          </w:p>
        </w:tc>
      </w:tr>
      <w:tr w:rsidR="00E91AE8" w:rsidTr="00E91AE8">
        <w:trPr>
          <w:trHeight w:val="198"/>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Pr="0056337E" w:rsidRDefault="00E91AE8" w:rsidP="00B95C87">
            <w:pPr>
              <w:rPr>
                <w:sz w:val="24"/>
                <w:szCs w:val="24"/>
              </w:rPr>
            </w:pPr>
            <w:r>
              <w:rPr>
                <w:sz w:val="24"/>
                <w:szCs w:val="24"/>
              </w:rPr>
              <w:t>3</w:t>
            </w:r>
          </w:p>
        </w:tc>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AE8" w:rsidRDefault="00E91AE8" w:rsidP="00B95C87">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E91AE8" w:rsidRDefault="00E91AE8" w:rsidP="00B95C87">
            <w:pPr>
              <w:rPr>
                <w:sz w:val="24"/>
                <w:szCs w:val="24"/>
              </w:rPr>
            </w:pPr>
          </w:p>
        </w:tc>
      </w:tr>
    </w:tbl>
    <w:p w:rsidR="00E91AE8" w:rsidRPr="00E91AE8" w:rsidRDefault="00E91AE8" w:rsidP="00E91AE8">
      <w:pPr>
        <w:pBdr>
          <w:top w:val="nil"/>
          <w:left w:val="nil"/>
          <w:bottom w:val="nil"/>
          <w:right w:val="nil"/>
          <w:between w:val="nil"/>
        </w:pBdr>
        <w:autoSpaceDE w:val="0"/>
        <w:autoSpaceDN w:val="0"/>
        <w:spacing w:before="240" w:after="240" w:line="240" w:lineRule="auto"/>
        <w:ind w:firstLine="720"/>
        <w:jc w:val="both"/>
        <w:rPr>
          <w:rFonts w:ascii="Times New Roman" w:eastAsia="Times New Roman" w:hAnsi="Times New Roman" w:cs="Times New Roman"/>
          <w:i/>
          <w:sz w:val="24"/>
          <w:szCs w:val="24"/>
          <w:lang w:val="uk" w:eastAsia="uk"/>
        </w:rPr>
      </w:pPr>
      <w:r w:rsidRPr="00E91AE8">
        <w:rPr>
          <w:rFonts w:ascii="Times New Roman" w:eastAsia="Times New Roman" w:hAnsi="Times New Roman" w:cs="Times New Roman"/>
          <w:i/>
          <w:sz w:val="24"/>
          <w:szCs w:val="24"/>
          <w:lang w:val="uk" w:eastAsia="uk"/>
        </w:rPr>
        <w:t>* Учасник повинен вказати одну із зазначених форм випуску, одиниць виміру.</w:t>
      </w:r>
    </w:p>
    <w:p w:rsidR="00E91AE8" w:rsidRPr="00E91AE8" w:rsidRDefault="00E91AE8" w:rsidP="00E91AE8">
      <w:pPr>
        <w:pBdr>
          <w:top w:val="nil"/>
          <w:left w:val="nil"/>
          <w:bottom w:val="nil"/>
          <w:right w:val="nil"/>
          <w:between w:val="nil"/>
        </w:pBdr>
        <w:autoSpaceDE w:val="0"/>
        <w:autoSpaceDN w:val="0"/>
        <w:spacing w:before="240" w:after="240" w:line="240" w:lineRule="auto"/>
        <w:ind w:firstLine="720"/>
        <w:jc w:val="both"/>
        <w:rPr>
          <w:rFonts w:ascii="Times New Roman" w:eastAsia="Times New Roman" w:hAnsi="Times New Roman" w:cs="Times New Roman"/>
          <w:i/>
          <w:sz w:val="24"/>
          <w:szCs w:val="24"/>
          <w:highlight w:val="white"/>
          <w:lang w:val="uk" w:eastAsia="uk"/>
        </w:rPr>
      </w:pPr>
      <w:r w:rsidRPr="00E91AE8">
        <w:rPr>
          <w:rFonts w:ascii="Times New Roman" w:eastAsia="Times New Roman" w:hAnsi="Times New Roman" w:cs="Times New Roman"/>
          <w:i/>
          <w:sz w:val="24"/>
          <w:szCs w:val="24"/>
          <w:highlight w:val="white"/>
          <w:lang w:val="uk" w:eastAsia="uk"/>
        </w:rPr>
        <w:t>*</w:t>
      </w:r>
      <w:r w:rsidRPr="00E91AE8">
        <w:rPr>
          <w:rFonts w:ascii="Times New Roman" w:eastAsia="Times New Roman" w:hAnsi="Times New Roman" w:cs="Times New Roman"/>
          <w:i/>
          <w:color w:val="000000"/>
          <w:sz w:val="24"/>
          <w:szCs w:val="24"/>
          <w:highlight w:val="white"/>
          <w:lang w:val="uk" w:eastAsia="uk"/>
        </w:rPr>
        <w:t xml:space="preserve">* </w:t>
      </w:r>
      <w:r w:rsidRPr="00E91AE8">
        <w:rPr>
          <w:rFonts w:ascii="Times New Roman" w:eastAsia="Times New Roman" w:hAnsi="Times New Roman" w:cs="Times New Roman"/>
          <w:i/>
          <w:sz w:val="24"/>
          <w:szCs w:val="24"/>
          <w:highlight w:val="white"/>
          <w:lang w:val="uk" w:eastAsia="uk"/>
        </w:rPr>
        <w:t xml:space="preserve">Учасник повинен зазначити торгову назву, яка зазначена у </w:t>
      </w:r>
      <w:r w:rsidRPr="00E91AE8">
        <w:rPr>
          <w:rFonts w:ascii="Times New Roman" w:eastAsia="Times New Roman" w:hAnsi="Times New Roman" w:cs="Times New Roman"/>
          <w:i/>
          <w:color w:val="000000"/>
          <w:sz w:val="24"/>
          <w:szCs w:val="24"/>
          <w:highlight w:val="white"/>
          <w:lang w:val="uk" w:eastAsia="uk"/>
        </w:rPr>
        <w:t>реєстраційно</w:t>
      </w:r>
      <w:r w:rsidRPr="00E91AE8">
        <w:rPr>
          <w:rFonts w:ascii="Times New Roman" w:eastAsia="Times New Roman" w:hAnsi="Times New Roman" w:cs="Times New Roman"/>
          <w:i/>
          <w:sz w:val="24"/>
          <w:szCs w:val="24"/>
          <w:highlight w:val="white"/>
          <w:lang w:val="uk" w:eastAsia="uk"/>
        </w:rPr>
        <w:t xml:space="preserve">му </w:t>
      </w:r>
      <w:r w:rsidRPr="00E91AE8">
        <w:rPr>
          <w:rFonts w:ascii="Times New Roman" w:eastAsia="Times New Roman" w:hAnsi="Times New Roman" w:cs="Times New Roman"/>
          <w:i/>
          <w:color w:val="000000"/>
          <w:sz w:val="24"/>
          <w:szCs w:val="24"/>
          <w:highlight w:val="white"/>
          <w:lang w:val="uk" w:eastAsia="uk"/>
        </w:rPr>
        <w:t>посвідченн</w:t>
      </w:r>
      <w:r w:rsidRPr="00E91AE8">
        <w:rPr>
          <w:rFonts w:ascii="Times New Roman" w:eastAsia="Times New Roman" w:hAnsi="Times New Roman" w:cs="Times New Roman"/>
          <w:i/>
          <w:sz w:val="24"/>
          <w:szCs w:val="24"/>
          <w:highlight w:val="white"/>
          <w:lang w:val="uk" w:eastAsia="uk"/>
        </w:rPr>
        <w:t>і</w:t>
      </w:r>
      <w:r w:rsidRPr="00E91AE8">
        <w:rPr>
          <w:rFonts w:ascii="Times New Roman" w:eastAsia="Times New Roman" w:hAnsi="Times New Roman" w:cs="Times New Roman"/>
          <w:i/>
          <w:color w:val="000000"/>
          <w:sz w:val="24"/>
          <w:szCs w:val="24"/>
          <w:highlight w:val="white"/>
          <w:lang w:val="uk" w:eastAsia="uk"/>
        </w:rPr>
        <w:t>, без додаткової інформації щодо форми випуск</w:t>
      </w:r>
      <w:r w:rsidRPr="00E91AE8">
        <w:rPr>
          <w:rFonts w:ascii="Times New Roman" w:eastAsia="Times New Roman" w:hAnsi="Times New Roman" w:cs="Times New Roman"/>
          <w:i/>
          <w:sz w:val="24"/>
          <w:szCs w:val="24"/>
          <w:highlight w:val="white"/>
          <w:lang w:val="uk" w:eastAsia="uk"/>
        </w:rPr>
        <w:t>у</w:t>
      </w:r>
      <w:r w:rsidRPr="00E91AE8">
        <w:rPr>
          <w:rFonts w:ascii="Times New Roman" w:eastAsia="Times New Roman" w:hAnsi="Times New Roman" w:cs="Times New Roman"/>
          <w:i/>
          <w:color w:val="000000"/>
          <w:sz w:val="24"/>
          <w:szCs w:val="24"/>
          <w:highlight w:val="white"/>
          <w:lang w:val="uk" w:eastAsia="uk"/>
        </w:rPr>
        <w:t>, дозування тощо</w:t>
      </w:r>
      <w:r w:rsidRPr="00E91AE8">
        <w:rPr>
          <w:rFonts w:ascii="Times New Roman" w:eastAsia="Times New Roman" w:hAnsi="Times New Roman" w:cs="Times New Roman"/>
          <w:i/>
          <w:sz w:val="24"/>
          <w:szCs w:val="24"/>
          <w:highlight w:val="white"/>
          <w:lang w:val="uk" w:eastAsia="uk"/>
        </w:rPr>
        <w:t xml:space="preserve"> (недотримання цієї вимоги не є підставою для відхилення пропозиції учасника).</w:t>
      </w:r>
    </w:p>
    <w:p w:rsidR="00E91AE8" w:rsidRDefault="00A61124" w:rsidP="00E91AE8">
      <w:pPr>
        <w:pBdr>
          <w:top w:val="nil"/>
          <w:left w:val="nil"/>
          <w:bottom w:val="nil"/>
          <w:right w:val="nil"/>
          <w:between w:val="nil"/>
        </w:pBdr>
        <w:autoSpaceDE w:val="0"/>
        <w:autoSpaceDN w:val="0"/>
        <w:spacing w:before="240" w:after="240" w:line="240" w:lineRule="auto"/>
        <w:ind w:firstLine="720"/>
        <w:jc w:val="both"/>
        <w:rPr>
          <w:rFonts w:ascii="Times New Roman" w:eastAsia="Times New Roman" w:hAnsi="Times New Roman" w:cs="Times New Roman"/>
          <w:i/>
          <w:sz w:val="24"/>
          <w:szCs w:val="24"/>
          <w:lang w:val="uk" w:eastAsia="uk"/>
        </w:rPr>
      </w:pPr>
      <w:sdt>
        <w:sdtPr>
          <w:rPr>
            <w:rFonts w:ascii="Times New Roman" w:eastAsia="Times New Roman" w:hAnsi="Times New Roman" w:cs="Times New Roman"/>
            <w:lang w:val="uk" w:eastAsia="uk"/>
          </w:rPr>
          <w:tag w:val="goog_rdk_1"/>
          <w:id w:val="-1594154904"/>
        </w:sdtPr>
        <w:sdtEndPr/>
        <w:sdtContent/>
      </w:sdt>
      <w:r w:rsidR="00E91AE8" w:rsidRPr="00E91AE8">
        <w:rPr>
          <w:rFonts w:ascii="Times New Roman" w:eastAsia="Times New Roman" w:hAnsi="Times New Roman" w:cs="Times New Roman"/>
          <w:i/>
          <w:color w:val="000000"/>
          <w:sz w:val="24"/>
          <w:szCs w:val="24"/>
          <w:lang w:val="uk" w:eastAsia="uk"/>
        </w:rPr>
        <w:t xml:space="preserve">У випадку, якщо учасник пропонує за однією МНН товари різних виробників або різні торгові назви, то така пропозиція оформлюється шляхом зазначення окремими рядками кожної з пропонованих торгових назв згідно з Таблицею 2 (недотримання цієї вимоги не є підставою </w:t>
      </w:r>
      <w:r w:rsidR="00E91AE8" w:rsidRPr="00E91AE8">
        <w:rPr>
          <w:rFonts w:ascii="Times New Roman" w:eastAsia="Times New Roman" w:hAnsi="Times New Roman" w:cs="Times New Roman"/>
          <w:i/>
          <w:color w:val="000000"/>
          <w:sz w:val="24"/>
          <w:szCs w:val="24"/>
          <w:highlight w:val="white"/>
          <w:lang w:val="uk" w:eastAsia="uk"/>
        </w:rPr>
        <w:t>для відхилення пропозиції учасника).</w:t>
      </w:r>
      <w:r w:rsidR="00E91AE8" w:rsidRPr="00E91AE8">
        <w:rPr>
          <w:rFonts w:ascii="Times New Roman" w:eastAsia="Times New Roman" w:hAnsi="Times New Roman" w:cs="Times New Roman"/>
          <w:i/>
          <w:sz w:val="24"/>
          <w:szCs w:val="24"/>
          <w:highlight w:val="white"/>
          <w:lang w:val="uk" w:eastAsia="uk"/>
        </w:rPr>
        <w:t xml:space="preserve"> </w:t>
      </w:r>
    </w:p>
    <w:p w:rsidR="00E91AE8" w:rsidRPr="00E91AE8" w:rsidRDefault="00E91AE8" w:rsidP="00E91AE8">
      <w:pPr>
        <w:pBdr>
          <w:top w:val="nil"/>
          <w:left w:val="nil"/>
          <w:bottom w:val="nil"/>
          <w:right w:val="nil"/>
          <w:between w:val="nil"/>
        </w:pBdr>
        <w:autoSpaceDE w:val="0"/>
        <w:autoSpaceDN w:val="0"/>
        <w:spacing w:before="240" w:after="240" w:line="240" w:lineRule="auto"/>
        <w:ind w:firstLine="720"/>
        <w:jc w:val="both"/>
        <w:rPr>
          <w:rFonts w:ascii="Times New Roman" w:eastAsia="Times New Roman" w:hAnsi="Times New Roman" w:cs="Times New Roman"/>
          <w:i/>
          <w:sz w:val="24"/>
          <w:szCs w:val="24"/>
          <w:lang w:val="uk" w:eastAsia="uk"/>
        </w:rPr>
      </w:pPr>
      <w:r w:rsidRPr="00E91AE8">
        <w:rPr>
          <w:rFonts w:ascii="Times New Roman" w:eastAsia="Times New Roman" w:hAnsi="Times New Roman" w:cs="Times New Roman"/>
          <w:i/>
          <w:sz w:val="24"/>
          <w:szCs w:val="24"/>
          <w:lang w:val="uk" w:eastAsia="uk"/>
        </w:rPr>
        <w:t xml:space="preserve">*** Учасник повинен зазначити кількість, що зазначена у Таблиці 1 та тендерній документації, без будь-якого коригування щодо кратності упаковки тощо (недотримання цієї вимоги, а саме зменшення кількості, є підставою для відхилення пропозиції учасника). </w:t>
      </w:r>
    </w:p>
    <w:p w:rsidR="00E91AE8" w:rsidRPr="00E91AE8" w:rsidRDefault="00E91AE8" w:rsidP="00E91AE8">
      <w:pPr>
        <w:widowControl w:val="0"/>
        <w:autoSpaceDE w:val="0"/>
        <w:autoSpaceDN w:val="0"/>
        <w:spacing w:after="0" w:line="240" w:lineRule="auto"/>
        <w:jc w:val="both"/>
        <w:rPr>
          <w:rFonts w:ascii="Times New Roman" w:eastAsia="Times New Roman" w:hAnsi="Times New Roman" w:cs="Times New Roman"/>
          <w:i/>
          <w:sz w:val="24"/>
          <w:szCs w:val="24"/>
          <w:highlight w:val="green"/>
          <w:lang w:val="uk" w:eastAsia="uk"/>
        </w:rPr>
      </w:pPr>
    </w:p>
    <w:p w:rsidR="00E91AE8" w:rsidRPr="00E91AE8" w:rsidRDefault="00E91AE8" w:rsidP="00E91AE8">
      <w:pPr>
        <w:widowControl w:val="0"/>
        <w:autoSpaceDE w:val="0"/>
        <w:autoSpaceDN w:val="0"/>
        <w:spacing w:after="0" w:line="240" w:lineRule="auto"/>
        <w:ind w:firstLine="720"/>
        <w:jc w:val="both"/>
        <w:rPr>
          <w:rFonts w:ascii="Times New Roman" w:eastAsia="Times New Roman" w:hAnsi="Times New Roman" w:cs="Times New Roman"/>
          <w:i/>
          <w:sz w:val="24"/>
          <w:szCs w:val="24"/>
          <w:highlight w:val="white"/>
          <w:lang w:val="uk" w:eastAsia="uk"/>
        </w:rPr>
      </w:pPr>
      <w:r w:rsidRPr="00E91AE8">
        <w:rPr>
          <w:rFonts w:ascii="Times New Roman" w:eastAsia="Times New Roman" w:hAnsi="Times New Roman" w:cs="Times New Roman"/>
          <w:i/>
          <w:sz w:val="24"/>
          <w:szCs w:val="24"/>
          <w:highlight w:val="white"/>
          <w:lang w:val="uk" w:eastAsia="uk"/>
        </w:rPr>
        <w:t>У разі необхідності коригування кількості до кратності упаковки сторони мають право зробити це перед укладанням договору або після підписання договору, шляхом укладання додаткової угоди.</w:t>
      </w:r>
    </w:p>
    <w:p w:rsidR="00E91AE8" w:rsidRDefault="00E91AE8" w:rsidP="00E91AE8">
      <w:pPr>
        <w:spacing w:after="120"/>
        <w:jc w:val="center"/>
        <w:rPr>
          <w:b/>
          <w:color w:val="000000"/>
          <w:sz w:val="24"/>
          <w:szCs w:val="24"/>
        </w:rPr>
      </w:pPr>
      <w:r>
        <w:rPr>
          <w:b/>
          <w:color w:val="000000"/>
          <w:sz w:val="24"/>
          <w:szCs w:val="24"/>
        </w:rPr>
        <w:t>Обов’язкові вимоги до предмета закупівлі: </w:t>
      </w:r>
    </w:p>
    <w:p w:rsidR="00E91AE8" w:rsidRDefault="00E91AE8" w:rsidP="00E91AE8">
      <w:pPr>
        <w:spacing w:after="120"/>
        <w:jc w:val="center"/>
        <w:rPr>
          <w:color w:val="000000"/>
          <w:sz w:val="24"/>
          <w:szCs w:val="24"/>
          <w:highlight w:val="yellow"/>
        </w:rPr>
      </w:pPr>
    </w:p>
    <w:p w:rsidR="00E91AE8" w:rsidRDefault="00E91AE8" w:rsidP="00E91AE8">
      <w:pPr>
        <w:spacing w:before="240" w:after="240"/>
        <w:jc w:val="both"/>
        <w:rPr>
          <w:sz w:val="24"/>
          <w:szCs w:val="24"/>
        </w:rPr>
      </w:pPr>
      <w:r>
        <w:rPr>
          <w:b/>
          <w:sz w:val="24"/>
          <w:szCs w:val="24"/>
        </w:rPr>
        <w:t>1</w:t>
      </w:r>
      <w:r>
        <w:rPr>
          <w:b/>
          <w:color w:val="000000"/>
          <w:sz w:val="24"/>
          <w:szCs w:val="24"/>
        </w:rPr>
        <w:t xml:space="preserve">. Вимоги щодо якості          </w:t>
      </w:r>
      <w:r>
        <w:rPr>
          <w:b/>
          <w:color w:val="000000"/>
          <w:sz w:val="24"/>
          <w:szCs w:val="24"/>
        </w:rPr>
        <w:tab/>
      </w:r>
    </w:p>
    <w:p w:rsidR="00E91AE8" w:rsidRDefault="00E91AE8" w:rsidP="00E91AE8">
      <w:pPr>
        <w:spacing w:before="240" w:after="240"/>
        <w:jc w:val="both"/>
        <w:rPr>
          <w:sz w:val="24"/>
          <w:szCs w:val="24"/>
        </w:rPr>
      </w:pPr>
      <w:r>
        <w:rPr>
          <w:b/>
          <w:sz w:val="24"/>
          <w:szCs w:val="24"/>
        </w:rPr>
        <w:t>1</w:t>
      </w:r>
      <w:r>
        <w:rPr>
          <w:b/>
          <w:color w:val="000000"/>
          <w:sz w:val="24"/>
          <w:szCs w:val="24"/>
        </w:rPr>
        <w:t>.</w:t>
      </w:r>
      <w:r>
        <w:rPr>
          <w:b/>
          <w:sz w:val="24"/>
          <w:szCs w:val="24"/>
        </w:rPr>
        <w:t>1</w:t>
      </w:r>
      <w:r>
        <w:rPr>
          <w:b/>
          <w:color w:val="000000"/>
          <w:sz w:val="24"/>
          <w:szCs w:val="24"/>
        </w:rPr>
        <w:t xml:space="preserve">. На момент ввезення </w:t>
      </w:r>
      <w:r>
        <w:rPr>
          <w:b/>
          <w:sz w:val="24"/>
          <w:szCs w:val="24"/>
        </w:rPr>
        <w:t>та/або постачання</w:t>
      </w:r>
      <w:r>
        <w:rPr>
          <w:b/>
          <w:color w:val="000000"/>
          <w:sz w:val="24"/>
          <w:szCs w:val="24"/>
        </w:rPr>
        <w:t xml:space="preserve"> лікарських засобів Постачальник має надати </w:t>
      </w:r>
      <w:r>
        <w:rPr>
          <w:sz w:val="24"/>
          <w:szCs w:val="24"/>
        </w:rPr>
        <w:t>дві завірені належним чином копії сертифікату якості (сертифікату аналізу) серії (-й) лікарського засобу, що видається виробником на лікарські засоби, які постачаються, складений відповідно до вимог, встановлених в Україні.</w:t>
      </w:r>
    </w:p>
    <w:p w:rsidR="00E91AE8" w:rsidRDefault="00E91AE8" w:rsidP="00E91AE8">
      <w:pPr>
        <w:spacing w:before="240" w:after="240"/>
        <w:jc w:val="both"/>
        <w:rPr>
          <w:sz w:val="24"/>
          <w:szCs w:val="24"/>
        </w:rPr>
      </w:pPr>
      <w:r>
        <w:rPr>
          <w:b/>
          <w:sz w:val="24"/>
          <w:szCs w:val="24"/>
        </w:rPr>
        <w:t>2</w:t>
      </w:r>
      <w:r>
        <w:rPr>
          <w:b/>
          <w:color w:val="000000"/>
          <w:sz w:val="24"/>
          <w:szCs w:val="24"/>
        </w:rPr>
        <w:t>. Первинна упаковка</w:t>
      </w:r>
    </w:p>
    <w:p w:rsidR="00E91AE8" w:rsidRDefault="00E91AE8" w:rsidP="00E91AE8">
      <w:pPr>
        <w:spacing w:before="240" w:after="240"/>
        <w:jc w:val="both"/>
        <w:rPr>
          <w:sz w:val="24"/>
          <w:szCs w:val="24"/>
        </w:rPr>
      </w:pPr>
      <w:r>
        <w:rPr>
          <w:sz w:val="24"/>
          <w:szCs w:val="24"/>
        </w:rPr>
        <w:t xml:space="preserve">Первинна упаковка має зберігати якість, безпечність та стабільність препарату, який вона вміщує. </w:t>
      </w:r>
    </w:p>
    <w:p w:rsidR="00E91AE8" w:rsidRDefault="00E91AE8" w:rsidP="00E91AE8">
      <w:pPr>
        <w:spacing w:before="240" w:after="240"/>
        <w:jc w:val="both"/>
        <w:rPr>
          <w:sz w:val="24"/>
          <w:szCs w:val="24"/>
        </w:rPr>
      </w:pPr>
      <w:r>
        <w:rPr>
          <w:sz w:val="24"/>
          <w:szCs w:val="24"/>
        </w:rPr>
        <w:t xml:space="preserve">Упаковка має бути належним чином запечатана та захищена від псування. </w:t>
      </w:r>
      <w:r>
        <w:rPr>
          <w:b/>
          <w:sz w:val="24"/>
          <w:szCs w:val="24"/>
        </w:rPr>
        <w:t>Всі компоненти упаковки</w:t>
      </w:r>
      <w:r>
        <w:rPr>
          <w:sz w:val="24"/>
          <w:szCs w:val="24"/>
        </w:rPr>
        <w:t xml:space="preserve"> мають відповідати </w:t>
      </w:r>
      <w:r>
        <w:rPr>
          <w:b/>
          <w:sz w:val="24"/>
          <w:szCs w:val="24"/>
        </w:rPr>
        <w:t>вимогам та</w:t>
      </w:r>
      <w:r>
        <w:rPr>
          <w:sz w:val="24"/>
          <w:szCs w:val="24"/>
        </w:rPr>
        <w:t xml:space="preserve"> </w:t>
      </w:r>
      <w:r>
        <w:rPr>
          <w:b/>
          <w:sz w:val="24"/>
          <w:szCs w:val="24"/>
        </w:rPr>
        <w:t>стандартам</w:t>
      </w:r>
      <w:r>
        <w:rPr>
          <w:sz w:val="24"/>
          <w:szCs w:val="24"/>
        </w:rPr>
        <w:t xml:space="preserve">, чинним на території України згідно з законодавством. </w:t>
      </w:r>
    </w:p>
    <w:p w:rsidR="00E91AE8" w:rsidRDefault="00E91AE8" w:rsidP="00E91AE8">
      <w:pPr>
        <w:spacing w:before="240" w:after="240"/>
        <w:jc w:val="both"/>
        <w:rPr>
          <w:b/>
          <w:sz w:val="24"/>
          <w:szCs w:val="24"/>
        </w:rPr>
      </w:pPr>
      <w:bookmarkStart w:id="2" w:name="_heading=h.30j0zll" w:colFirst="0" w:colLast="0"/>
      <w:bookmarkEnd w:id="2"/>
      <w:r>
        <w:rPr>
          <w:sz w:val="24"/>
          <w:szCs w:val="24"/>
        </w:rPr>
        <w:t>Кожна упаковка повинна супроводжуватись інструкцією про застосування лікарського засобу (інструкцією для медичного застосування), викладеною державною (українською) мовою, затвердженою відповідно до чинного законодавства України, а у випадку, коли незареєстрований лікарський засіб може ввозитись на митну територію України в порядку та на умовах, визначених чинним законодавством – кожна упаковка повинна супроводжуватись інструкцією для медичного застосування лікарського засобу, викладеною мовою оригіналу (мовою, відмінною від державної), затвердженою відповідно до нормативних вимог країни виробництва, з перекладом такої інструкції державною (українською) мовою.</w:t>
      </w:r>
    </w:p>
    <w:p w:rsidR="00E91AE8" w:rsidRDefault="00E91AE8" w:rsidP="00E91AE8">
      <w:pPr>
        <w:spacing w:before="240" w:after="240"/>
        <w:jc w:val="both"/>
        <w:rPr>
          <w:sz w:val="24"/>
          <w:szCs w:val="24"/>
        </w:rPr>
      </w:pPr>
      <w:r>
        <w:rPr>
          <w:b/>
          <w:sz w:val="24"/>
          <w:szCs w:val="24"/>
        </w:rPr>
        <w:lastRenderedPageBreak/>
        <w:t>3</w:t>
      </w:r>
      <w:r>
        <w:rPr>
          <w:b/>
          <w:color w:val="000000"/>
          <w:sz w:val="24"/>
          <w:szCs w:val="24"/>
        </w:rPr>
        <w:t>. Маркування</w:t>
      </w:r>
    </w:p>
    <w:p w:rsidR="00E91AE8" w:rsidRDefault="00E91AE8" w:rsidP="00E91AE8">
      <w:pPr>
        <w:spacing w:before="240" w:after="240"/>
        <w:jc w:val="both"/>
        <w:rPr>
          <w:sz w:val="24"/>
          <w:szCs w:val="24"/>
        </w:rPr>
      </w:pPr>
      <w:r>
        <w:rPr>
          <w:sz w:val="24"/>
          <w:szCs w:val="24"/>
        </w:rPr>
        <w:t>Мовою маркування лікарських засобів, інструкцій про їх застосування є державна (українська) мова, якщо інше не передбачено законом.</w:t>
      </w:r>
    </w:p>
    <w:p w:rsidR="00E91AE8" w:rsidRDefault="00E91AE8" w:rsidP="00E91AE8">
      <w:pPr>
        <w:spacing w:before="240" w:after="240"/>
        <w:jc w:val="both"/>
        <w:rPr>
          <w:b/>
          <w:sz w:val="24"/>
          <w:szCs w:val="24"/>
        </w:rPr>
      </w:pPr>
      <w:r>
        <w:rPr>
          <w:sz w:val="24"/>
          <w:szCs w:val="24"/>
        </w:rPr>
        <w:t>Маркування, інструкції про застосування/короткі характеристики лікарських засобів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копією засвідченого підписом заявника/виробника або уповноваженого ним представника перекладу тексту маркування та інструкції про застосування/короткої характеристики лікарського засобу на державну (українську) мову.</w:t>
      </w:r>
    </w:p>
    <w:p w:rsidR="00E91AE8" w:rsidRDefault="00E91AE8" w:rsidP="00E91AE8">
      <w:pPr>
        <w:spacing w:before="240" w:after="240"/>
        <w:jc w:val="both"/>
        <w:rPr>
          <w:color w:val="FF0000"/>
          <w:sz w:val="24"/>
          <w:szCs w:val="24"/>
        </w:rPr>
      </w:pPr>
      <w:r>
        <w:rPr>
          <w:b/>
          <w:sz w:val="24"/>
          <w:szCs w:val="24"/>
        </w:rPr>
        <w:t>4</w:t>
      </w:r>
      <w:r>
        <w:rPr>
          <w:b/>
          <w:color w:val="000000"/>
          <w:sz w:val="24"/>
          <w:szCs w:val="24"/>
        </w:rPr>
        <w:t xml:space="preserve">. Термін придатності </w:t>
      </w:r>
    </w:p>
    <w:p w:rsidR="00E91AE8" w:rsidRDefault="00E91AE8" w:rsidP="00E91AE8">
      <w:pPr>
        <w:spacing w:before="240" w:after="240"/>
        <w:jc w:val="both"/>
        <w:rPr>
          <w:sz w:val="24"/>
          <w:szCs w:val="24"/>
          <w:highlight w:val="white"/>
        </w:rPr>
      </w:pPr>
      <w:r>
        <w:rPr>
          <w:sz w:val="24"/>
          <w:szCs w:val="24"/>
          <w:highlight w:val="white"/>
        </w:rPr>
        <w:t xml:space="preserve">Термін придатності лікарських засобів, </w:t>
      </w:r>
      <w:r>
        <w:rPr>
          <w:sz w:val="24"/>
          <w:szCs w:val="24"/>
        </w:rPr>
        <w:t>які постачаються,</w:t>
      </w:r>
      <w:r w:rsidR="006375CE">
        <w:rPr>
          <w:sz w:val="24"/>
          <w:szCs w:val="24"/>
          <w:highlight w:val="white"/>
        </w:rPr>
        <w:t xml:space="preserve"> має становити не менше 8</w:t>
      </w:r>
      <w:r>
        <w:rPr>
          <w:sz w:val="24"/>
          <w:szCs w:val="24"/>
          <w:highlight w:val="white"/>
        </w:rPr>
        <w:t xml:space="preserve">0 відсотків терміну придатності лікарського засобу, встановленого виробником. </w:t>
      </w:r>
    </w:p>
    <w:p w:rsidR="00E91AE8" w:rsidRDefault="00E91AE8" w:rsidP="00E91AE8">
      <w:pPr>
        <w:spacing w:before="240" w:after="240"/>
        <w:jc w:val="both"/>
        <w:rPr>
          <w:sz w:val="24"/>
          <w:szCs w:val="24"/>
        </w:rPr>
      </w:pPr>
      <w:r>
        <w:rPr>
          <w:sz w:val="24"/>
          <w:szCs w:val="24"/>
          <w:highlight w:val="white"/>
        </w:rPr>
        <w:t>За окремим рішенням центрального органу виконавчої влади, що забезпечує формування та реалізує державну політику у сфері охорони здоров’я, у визначених ним випадках термін придатності лікарських засобів, які закуповуються особою, уповноваженою на здійснення закупівель у сфері охорони здоров’я, за переліком, затвердженим Кабінетом Міністрів України, та за умови підтвердження цільового призначення ввезення таких лікарських засобів, може бути скорочений.</w:t>
      </w:r>
    </w:p>
    <w:p w:rsidR="00E91AE8" w:rsidRDefault="00E91AE8" w:rsidP="00E91AE8">
      <w:pPr>
        <w:pBdr>
          <w:bottom w:val="single" w:sz="12" w:space="0" w:color="000000"/>
        </w:pBdr>
        <w:shd w:val="clear" w:color="auto" w:fill="FFFFFF"/>
        <w:ind w:right="1"/>
        <w:rPr>
          <w:b/>
          <w:color w:val="000000"/>
        </w:rPr>
      </w:pPr>
    </w:p>
    <w:p w:rsidR="00E91AE8" w:rsidRDefault="00E91AE8" w:rsidP="00E91AE8">
      <w:pPr>
        <w:shd w:val="clear" w:color="auto" w:fill="FFFFFF"/>
        <w:ind w:right="1"/>
        <w:jc w:val="center"/>
        <w:rPr>
          <w:b/>
          <w:color w:val="000000"/>
          <w:vertAlign w:val="superscript"/>
        </w:rPr>
      </w:pPr>
      <w:r>
        <w:rPr>
          <w:b/>
          <w:color w:val="000000"/>
        </w:rPr>
        <w:t>Посада, прізвище, ініціали, підпис керівника чи уповноваженої особи учасника</w:t>
      </w:r>
      <w:r>
        <w:rPr>
          <w:b/>
          <w:color w:val="000000"/>
          <w:vertAlign w:val="superscript"/>
        </w:rPr>
        <w:t>*</w:t>
      </w:r>
    </w:p>
    <w:p w:rsidR="00E91AE8" w:rsidRDefault="00E91AE8" w:rsidP="00E91AE8">
      <w:pPr>
        <w:pBdr>
          <w:top w:val="nil"/>
          <w:left w:val="nil"/>
          <w:bottom w:val="nil"/>
          <w:right w:val="nil"/>
          <w:between w:val="nil"/>
        </w:pBdr>
        <w:shd w:val="clear" w:color="auto" w:fill="FFFFFF"/>
        <w:ind w:left="720" w:right="1" w:hanging="567"/>
        <w:jc w:val="both"/>
        <w:rPr>
          <w:b/>
          <w:color w:val="000000"/>
          <w:sz w:val="20"/>
          <w:szCs w:val="20"/>
        </w:rPr>
      </w:pPr>
    </w:p>
    <w:p w:rsidR="00E91AE8" w:rsidRDefault="00E91AE8" w:rsidP="00E91AE8">
      <w:pPr>
        <w:shd w:val="clear" w:color="auto" w:fill="FFFFFF"/>
        <w:ind w:right="1"/>
        <w:jc w:val="both"/>
        <w:rPr>
          <w:b/>
          <w:color w:val="000000"/>
          <w:vertAlign w:val="superscript"/>
        </w:rPr>
      </w:pPr>
    </w:p>
    <w:p w:rsidR="00E91AE8" w:rsidRDefault="00E91AE8" w:rsidP="00E91AE8">
      <w:pPr>
        <w:shd w:val="clear" w:color="auto" w:fill="FFFFFF"/>
        <w:ind w:right="1"/>
        <w:jc w:val="both"/>
        <w:rPr>
          <w:b/>
          <w:sz w:val="24"/>
          <w:szCs w:val="24"/>
        </w:rPr>
      </w:pPr>
      <w:r>
        <w:rPr>
          <w:b/>
          <w:color w:val="000000"/>
          <w:vertAlign w:val="superscript"/>
        </w:rPr>
        <w:t>*</w:t>
      </w:r>
      <w:r>
        <w:rPr>
          <w:i/>
          <w:color w:val="000000"/>
          <w:sz w:val="20"/>
          <w:szCs w:val="20"/>
        </w:rPr>
        <w:t>Учасник має право поставити на документі відбиток печатки, у випадку її використання учасником.</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p>
    <w:sectPr w:rsidR="00431999" w:rsidRPr="008E42D4" w:rsidSect="00AB7BA0">
      <w:pgSz w:w="11906" w:h="16838"/>
      <w:pgMar w:top="568"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24" w:rsidRDefault="00A61124" w:rsidP="0088599F">
      <w:pPr>
        <w:spacing w:after="0" w:line="240" w:lineRule="auto"/>
      </w:pPr>
      <w:r>
        <w:separator/>
      </w:r>
    </w:p>
  </w:endnote>
  <w:endnote w:type="continuationSeparator" w:id="0">
    <w:p w:rsidR="00A61124" w:rsidRDefault="00A61124" w:rsidP="0088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24" w:rsidRDefault="00A61124" w:rsidP="0088599F">
      <w:pPr>
        <w:spacing w:after="0" w:line="240" w:lineRule="auto"/>
      </w:pPr>
      <w:r>
        <w:separator/>
      </w:r>
    </w:p>
  </w:footnote>
  <w:footnote w:type="continuationSeparator" w:id="0">
    <w:p w:rsidR="00A61124" w:rsidRDefault="00A61124" w:rsidP="0088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F789F"/>
    <w:multiLevelType w:val="hybridMultilevel"/>
    <w:tmpl w:val="B7F01CEA"/>
    <w:lvl w:ilvl="0" w:tplc="945AC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0960921"/>
    <w:multiLevelType w:val="hybridMultilevel"/>
    <w:tmpl w:val="629ED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D56A7C"/>
    <w:multiLevelType w:val="hybridMultilevel"/>
    <w:tmpl w:val="81645310"/>
    <w:lvl w:ilvl="0" w:tplc="BEE6F1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D"/>
    <w:rsid w:val="00001D92"/>
    <w:rsid w:val="00003BA6"/>
    <w:rsid w:val="00026001"/>
    <w:rsid w:val="000409D2"/>
    <w:rsid w:val="00070DD0"/>
    <w:rsid w:val="000B4F50"/>
    <w:rsid w:val="000E3332"/>
    <w:rsid w:val="000F6CC5"/>
    <w:rsid w:val="0010298F"/>
    <w:rsid w:val="0010651F"/>
    <w:rsid w:val="001158E1"/>
    <w:rsid w:val="001338D3"/>
    <w:rsid w:val="00154D90"/>
    <w:rsid w:val="00157475"/>
    <w:rsid w:val="00175C76"/>
    <w:rsid w:val="0019000D"/>
    <w:rsid w:val="001957ED"/>
    <w:rsid w:val="001C512D"/>
    <w:rsid w:val="001C7963"/>
    <w:rsid w:val="001E21B0"/>
    <w:rsid w:val="00200DA6"/>
    <w:rsid w:val="00210F8E"/>
    <w:rsid w:val="00247916"/>
    <w:rsid w:val="002723BA"/>
    <w:rsid w:val="00282895"/>
    <w:rsid w:val="002A0572"/>
    <w:rsid w:val="0030574A"/>
    <w:rsid w:val="003221B8"/>
    <w:rsid w:val="00326908"/>
    <w:rsid w:val="00343A4E"/>
    <w:rsid w:val="003842A6"/>
    <w:rsid w:val="003850A0"/>
    <w:rsid w:val="003A41E1"/>
    <w:rsid w:val="003B10E5"/>
    <w:rsid w:val="003D15DD"/>
    <w:rsid w:val="00431999"/>
    <w:rsid w:val="00482D6E"/>
    <w:rsid w:val="00483848"/>
    <w:rsid w:val="0049171F"/>
    <w:rsid w:val="004A0439"/>
    <w:rsid w:val="004B0364"/>
    <w:rsid w:val="004C2DAC"/>
    <w:rsid w:val="004C64D5"/>
    <w:rsid w:val="004D3518"/>
    <w:rsid w:val="004D7DEA"/>
    <w:rsid w:val="005008E9"/>
    <w:rsid w:val="00510147"/>
    <w:rsid w:val="00537AE8"/>
    <w:rsid w:val="00582C42"/>
    <w:rsid w:val="005A6A6C"/>
    <w:rsid w:val="005A741E"/>
    <w:rsid w:val="005C1FE0"/>
    <w:rsid w:val="005C38AC"/>
    <w:rsid w:val="005C639D"/>
    <w:rsid w:val="005E2461"/>
    <w:rsid w:val="005F1353"/>
    <w:rsid w:val="00602A70"/>
    <w:rsid w:val="00612DE5"/>
    <w:rsid w:val="006375CE"/>
    <w:rsid w:val="00644F5F"/>
    <w:rsid w:val="00645050"/>
    <w:rsid w:val="006A6739"/>
    <w:rsid w:val="007027D0"/>
    <w:rsid w:val="00714414"/>
    <w:rsid w:val="00735872"/>
    <w:rsid w:val="00747D10"/>
    <w:rsid w:val="0079362A"/>
    <w:rsid w:val="007F579D"/>
    <w:rsid w:val="0080030F"/>
    <w:rsid w:val="0082759F"/>
    <w:rsid w:val="008326CE"/>
    <w:rsid w:val="00843631"/>
    <w:rsid w:val="0088599F"/>
    <w:rsid w:val="008C7FC5"/>
    <w:rsid w:val="008E0FE1"/>
    <w:rsid w:val="008E42D4"/>
    <w:rsid w:val="00996FEB"/>
    <w:rsid w:val="009A3B14"/>
    <w:rsid w:val="009E5643"/>
    <w:rsid w:val="009F0B2D"/>
    <w:rsid w:val="009F62BC"/>
    <w:rsid w:val="00A14A97"/>
    <w:rsid w:val="00A34F8C"/>
    <w:rsid w:val="00A61124"/>
    <w:rsid w:val="00A61536"/>
    <w:rsid w:val="00A71C72"/>
    <w:rsid w:val="00AB2013"/>
    <w:rsid w:val="00AB7BA0"/>
    <w:rsid w:val="00AC08BF"/>
    <w:rsid w:val="00AC3B2C"/>
    <w:rsid w:val="00AD282F"/>
    <w:rsid w:val="00AF5FD0"/>
    <w:rsid w:val="00B25D33"/>
    <w:rsid w:val="00B277AB"/>
    <w:rsid w:val="00B329E7"/>
    <w:rsid w:val="00B71AFA"/>
    <w:rsid w:val="00BD074C"/>
    <w:rsid w:val="00BE0C06"/>
    <w:rsid w:val="00BE69A1"/>
    <w:rsid w:val="00C3019B"/>
    <w:rsid w:val="00C61E1A"/>
    <w:rsid w:val="00C660C6"/>
    <w:rsid w:val="00C83A58"/>
    <w:rsid w:val="00C96218"/>
    <w:rsid w:val="00CB013A"/>
    <w:rsid w:val="00CD2CCF"/>
    <w:rsid w:val="00CE23C5"/>
    <w:rsid w:val="00D27AD5"/>
    <w:rsid w:val="00D615FE"/>
    <w:rsid w:val="00D63133"/>
    <w:rsid w:val="00D70D69"/>
    <w:rsid w:val="00DB2301"/>
    <w:rsid w:val="00DE356C"/>
    <w:rsid w:val="00DF492E"/>
    <w:rsid w:val="00E714D2"/>
    <w:rsid w:val="00E82EAC"/>
    <w:rsid w:val="00E91AE8"/>
    <w:rsid w:val="00EA575C"/>
    <w:rsid w:val="00EC3E2A"/>
    <w:rsid w:val="00F42AEC"/>
    <w:rsid w:val="00FC4360"/>
    <w:rsid w:val="00FD487C"/>
    <w:rsid w:val="00FE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282E-0037-4514-85BD-439BF3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599F"/>
  </w:style>
  <w:style w:type="paragraph" w:styleId="a5">
    <w:name w:val="footer"/>
    <w:basedOn w:val="a"/>
    <w:link w:val="a6"/>
    <w:uiPriority w:val="99"/>
    <w:unhideWhenUsed/>
    <w:rsid w:val="008859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599F"/>
  </w:style>
  <w:style w:type="paragraph" w:styleId="a7">
    <w:name w:val="Body Text Indent"/>
    <w:basedOn w:val="a"/>
    <w:link w:val="a8"/>
    <w:rsid w:val="008E42D4"/>
    <w:pPr>
      <w:spacing w:after="0" w:line="240" w:lineRule="auto"/>
      <w:ind w:left="360"/>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8E42D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8E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E42D4"/>
    <w:rPr>
      <w:rFonts w:ascii="Courier New" w:eastAsia="Times New Roman" w:hAnsi="Courier New" w:cs="Courier New"/>
      <w:sz w:val="20"/>
      <w:szCs w:val="20"/>
      <w:lang w:val="ru-RU" w:eastAsia="ru-RU"/>
    </w:rPr>
  </w:style>
  <w:style w:type="paragraph" w:styleId="a9">
    <w:name w:val="List Paragraph"/>
    <w:basedOn w:val="a"/>
    <w:uiPriority w:val="34"/>
    <w:qFormat/>
    <w:rsid w:val="008E42D4"/>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1C512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512D"/>
    <w:rPr>
      <w:rFonts w:ascii="Segoe UI" w:hAnsi="Segoe UI" w:cs="Segoe UI"/>
      <w:sz w:val="18"/>
      <w:szCs w:val="18"/>
    </w:rPr>
  </w:style>
  <w:style w:type="table" w:styleId="ac">
    <w:name w:val="Table Grid"/>
    <w:basedOn w:val="a1"/>
    <w:uiPriority w:val="99"/>
    <w:rsid w:val="003842A6"/>
    <w:pPr>
      <w:spacing w:after="200" w:line="276"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3325">
      <w:bodyDiv w:val="1"/>
      <w:marLeft w:val="0"/>
      <w:marRight w:val="0"/>
      <w:marTop w:val="0"/>
      <w:marBottom w:val="0"/>
      <w:divBdr>
        <w:top w:val="none" w:sz="0" w:space="0" w:color="auto"/>
        <w:left w:val="none" w:sz="0" w:space="0" w:color="auto"/>
        <w:bottom w:val="none" w:sz="0" w:space="0" w:color="auto"/>
        <w:right w:val="none" w:sz="0" w:space="0" w:color="auto"/>
      </w:divBdr>
    </w:div>
    <w:div w:id="1521967880">
      <w:bodyDiv w:val="1"/>
      <w:marLeft w:val="0"/>
      <w:marRight w:val="0"/>
      <w:marTop w:val="0"/>
      <w:marBottom w:val="0"/>
      <w:divBdr>
        <w:top w:val="none" w:sz="0" w:space="0" w:color="auto"/>
        <w:left w:val="none" w:sz="0" w:space="0" w:color="auto"/>
        <w:bottom w:val="none" w:sz="0" w:space="0" w:color="auto"/>
        <w:right w:val="none" w:sz="0" w:space="0" w:color="auto"/>
      </w:divBdr>
    </w:div>
    <w:div w:id="1556896480">
      <w:bodyDiv w:val="1"/>
      <w:marLeft w:val="0"/>
      <w:marRight w:val="0"/>
      <w:marTop w:val="0"/>
      <w:marBottom w:val="0"/>
      <w:divBdr>
        <w:top w:val="none" w:sz="0" w:space="0" w:color="auto"/>
        <w:left w:val="none" w:sz="0" w:space="0" w:color="auto"/>
        <w:bottom w:val="none" w:sz="0" w:space="0" w:color="auto"/>
        <w:right w:val="none" w:sz="0" w:space="0" w:color="auto"/>
      </w:divBdr>
    </w:div>
    <w:div w:id="1669819775">
      <w:bodyDiv w:val="1"/>
      <w:marLeft w:val="0"/>
      <w:marRight w:val="0"/>
      <w:marTop w:val="0"/>
      <w:marBottom w:val="0"/>
      <w:divBdr>
        <w:top w:val="none" w:sz="0" w:space="0" w:color="auto"/>
        <w:left w:val="none" w:sz="0" w:space="0" w:color="auto"/>
        <w:bottom w:val="none" w:sz="0" w:space="0" w:color="auto"/>
        <w:right w:val="none" w:sz="0" w:space="0" w:color="auto"/>
      </w:divBdr>
    </w:div>
    <w:div w:id="17901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Мисюра Игорь Юрьевич</dc:creator>
  <cp:keywords/>
  <dc:description/>
  <cp:lastModifiedBy>Admin</cp:lastModifiedBy>
  <cp:revision>22</cp:revision>
  <cp:lastPrinted>2023-10-18T07:02:00Z</cp:lastPrinted>
  <dcterms:created xsi:type="dcterms:W3CDTF">2023-04-13T08:26:00Z</dcterms:created>
  <dcterms:modified xsi:type="dcterms:W3CDTF">2023-10-18T11:33:00Z</dcterms:modified>
</cp:coreProperties>
</file>