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FD" w:rsidRDefault="00FC7EED">
      <w:pPr>
        <w:ind w:right="-6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251E23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7C7BFD" w:rsidRDefault="00FC7EED">
      <w:pPr>
        <w:ind w:right="-6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:rsidR="007C7BFD" w:rsidRDefault="00FC7EED">
      <w:pPr>
        <w:spacing w:before="240" w:after="240"/>
        <w:ind w:left="-142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ІНФОРМАЦІЇ, ЩО ПОДАЄТЬСЯ УЧАСНИКОМ В СКЛАДІ ЙОГО ПРОПОЗИЦІЇ (У ВИГЛЯДІ ФАЙЛІВ), ТА ВИМОГИ ДО НЕЇ</w:t>
      </w:r>
    </w:p>
    <w:p w:rsidR="007C7BFD" w:rsidRDefault="00FC7EED">
      <w:pPr>
        <w:spacing w:before="240" w:after="240"/>
        <w:ind w:left="-142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І. ПЕРЕЛІК ІНФОРМАЦІЇ, ЩО ВІДНОСИТЬСЯ ДО СКЛАДУ ПРОПОЗИЦІЇ ТА ПІДЛЯГАЄ ЗАВАНТАЖЕННЮ В ЕСЗ У ВИГЛЯДІ ФАЙЛІВ</w:t>
      </w:r>
    </w:p>
    <w:p w:rsidR="007C7BFD" w:rsidRDefault="007C7BFD">
      <w:pPr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af6"/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977"/>
        <w:gridCol w:w="5953"/>
      </w:tblGrid>
      <w:tr w:rsidR="007C7BFD">
        <w:tc>
          <w:tcPr>
            <w:tcW w:w="846" w:type="dxa"/>
          </w:tcPr>
          <w:p w:rsidR="007C7BFD" w:rsidRDefault="00FC7EE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7C7BFD" w:rsidRDefault="00FC7EE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Найменування документа</w:t>
            </w:r>
          </w:p>
        </w:tc>
        <w:tc>
          <w:tcPr>
            <w:tcW w:w="5953" w:type="dxa"/>
          </w:tcPr>
          <w:p w:rsidR="007C7BFD" w:rsidRDefault="00FC7EED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документа (документи, які повинен надати учасник)</w:t>
            </w:r>
          </w:p>
        </w:tc>
      </w:tr>
      <w:tr w:rsidR="007C7BFD">
        <w:tc>
          <w:tcPr>
            <w:tcW w:w="846" w:type="dxa"/>
          </w:tcPr>
          <w:p w:rsidR="007C7BFD" w:rsidRDefault="00251E23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C7E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Інформація, що підтверджує відповідність тендерної пропозиції учасника технічним, якісним, кількісним та іншим вимогам до предмета </w:t>
            </w:r>
            <w:r>
              <w:rPr>
                <w:rFonts w:ascii="Times New Roman" w:eastAsia="Times New Roman" w:hAnsi="Times New Roman" w:cs="Times New Roman"/>
              </w:rPr>
              <w:t>закупівлі.</w:t>
            </w:r>
          </w:p>
        </w:tc>
        <w:tc>
          <w:tcPr>
            <w:tcW w:w="5953" w:type="dxa"/>
          </w:tcPr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Довідка про необхідні технічні, якісні та кількісні характеристики предмета закупівлі, за формою, що наведена у Додатку 1 до тендерної документації. </w:t>
            </w:r>
          </w:p>
          <w:p w:rsidR="007C7BFD" w:rsidRDefault="00FC7EE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Учасник надає заповнений та підписаний Додаток 1, а також його  копію у форматі 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C7BFD" w:rsidRDefault="00FC7EED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 Ненадання учасником заповненого Додатка 1 у форматі 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є підставою для відхилення пропозиції. 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Замовник залишає за собою право не відхиляти тендерну</w:t>
            </w:r>
            <w:r>
              <w:rPr>
                <w:rFonts w:ascii="Times New Roman" w:eastAsia="Times New Roman" w:hAnsi="Times New Roman" w:cs="Times New Roman"/>
              </w:rPr>
              <w:t xml:space="preserve"> пропозицію учасника у випадках відмінності чи відсутності підтвердження в Довідці окремої інформації згідно з вимогами тендерної документації у разі, якщо така інформація чи підтвердження зазначені в інших документах тендерної пропозиції учасника (інструк</w:t>
            </w:r>
            <w:r>
              <w:rPr>
                <w:rFonts w:ascii="Times New Roman" w:eastAsia="Times New Roman" w:hAnsi="Times New Roman" w:cs="Times New Roman"/>
              </w:rPr>
              <w:t>ція, сертифікат, висновок тощо), або були належним чином отримані у відповідь на звернення до органів державної влади, підприємств, установ, організацій відповідно до їх компетенції.</w:t>
            </w:r>
          </w:p>
        </w:tc>
      </w:tr>
      <w:tr w:rsidR="007C7BFD">
        <w:tc>
          <w:tcPr>
            <w:tcW w:w="846" w:type="dxa"/>
          </w:tcPr>
          <w:p w:rsidR="007C7BFD" w:rsidRDefault="00251E23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C7E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Вимоги до підписання документів тендерної пропозиції</w:t>
            </w:r>
          </w:p>
        </w:tc>
        <w:tc>
          <w:tcPr>
            <w:tcW w:w="5953" w:type="dxa"/>
          </w:tcPr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Документи тендерної пропозиції, складені від імені учасника закупівлі, мають бути підписані уповноваженою особою, яка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наділена повноваженнями представляти учасника та діяти від його імені на всіх етапах закупівлі.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(Якщо в складі тендерної пропозиції надає</w:t>
            </w:r>
            <w:r>
              <w:rPr>
                <w:rFonts w:ascii="Times New Roman" w:eastAsia="Times New Roman" w:hAnsi="Times New Roman" w:cs="Times New Roman"/>
                <w:i/>
              </w:rPr>
              <w:t>ться документ, що складений іншою мовою, ніж українська, учасник повинен надати автентичний переклад такого документа українською мовою. Визначальним є текст, викладений українською мовою. Відповідальність за достовірність перекладу несе учасник).</w:t>
            </w:r>
          </w:p>
        </w:tc>
      </w:tr>
      <w:tr w:rsidR="007C7BFD">
        <w:tc>
          <w:tcPr>
            <w:tcW w:w="846" w:type="dxa"/>
          </w:tcPr>
          <w:p w:rsidR="007C7BFD" w:rsidRDefault="00251E23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FC7E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Підтвердження повної і беззаперечної згоди з усіма умовами, що вказані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закупівлю згідно з вимогами Додатка 4 до тендерної документації</w:t>
            </w:r>
          </w:p>
        </w:tc>
        <w:tc>
          <w:tcPr>
            <w:tcW w:w="5953" w:type="dxa"/>
          </w:tcPr>
          <w:p w:rsidR="007C7BFD" w:rsidRDefault="00FC7EED" w:rsidP="00251E23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5.1. Лист - згода </w:t>
            </w:r>
            <w:r w:rsidR="00251E23">
              <w:rPr>
                <w:rFonts w:ascii="Times New Roman" w:eastAsia="Times New Roman" w:hAnsi="Times New Roman" w:cs="Times New Roman"/>
              </w:rPr>
              <w:t xml:space="preserve">в довільній формі </w:t>
            </w:r>
            <w:r>
              <w:rPr>
                <w:rFonts w:ascii="Times New Roman" w:eastAsia="Times New Roman" w:hAnsi="Times New Roman" w:cs="Times New Roman"/>
              </w:rPr>
              <w:t xml:space="preserve">про погодження учасника з умовами договору про закупівлю. </w:t>
            </w:r>
          </w:p>
        </w:tc>
      </w:tr>
      <w:tr w:rsidR="007C7BFD">
        <w:tc>
          <w:tcPr>
            <w:tcW w:w="846" w:type="dxa"/>
          </w:tcPr>
          <w:p w:rsidR="007C7BFD" w:rsidRDefault="00251E23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C7EE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7C7BFD" w:rsidRDefault="00FC7EED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Вимоги щодо реєстрації лікарського засобу</w:t>
            </w:r>
          </w:p>
          <w:p w:rsidR="007C7BFD" w:rsidRDefault="00251E2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C7EED">
              <w:rPr>
                <w:rFonts w:ascii="Times New Roman" w:eastAsia="Times New Roman" w:hAnsi="Times New Roman" w:cs="Times New Roman"/>
              </w:rPr>
              <w:t>.1. Щодо зареєстрованого лікарського засобу</w:t>
            </w:r>
          </w:p>
          <w:p w:rsidR="007C7BFD" w:rsidRDefault="007C7BFD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</w:p>
          <w:p w:rsidR="007C7BFD" w:rsidRDefault="007C7BFD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7BFD" w:rsidRDefault="00251E23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C7EED">
              <w:rPr>
                <w:rFonts w:ascii="Times New Roman" w:eastAsia="Times New Roman" w:hAnsi="Times New Roman" w:cs="Times New Roman"/>
              </w:rPr>
              <w:t>.1.1. Копія ч</w:t>
            </w:r>
            <w:r w:rsidR="00FC7EED">
              <w:rPr>
                <w:rFonts w:ascii="Times New Roman" w:eastAsia="Times New Roman" w:hAnsi="Times New Roman" w:cs="Times New Roman"/>
              </w:rPr>
              <w:t>инного реєстраційного посвідчення на лікарський засіб, виданого відповідним уповноваженим органом в Україні. Документи надаються учасником у складі тендерної пропозиції з урахуванням вимог чинного законодавства України, встановлених до реєстрації лікарськи</w:t>
            </w:r>
            <w:r w:rsidR="00FC7EED">
              <w:rPr>
                <w:rFonts w:ascii="Times New Roman" w:eastAsia="Times New Roman" w:hAnsi="Times New Roman" w:cs="Times New Roman"/>
              </w:rPr>
              <w:t xml:space="preserve">х засобів, які можуть закуповуватися особою, уповноваженою на здійснення </w:t>
            </w:r>
            <w:proofErr w:type="spellStart"/>
            <w:r w:rsidR="00FC7EED"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 w:rsidR="00FC7EED">
              <w:rPr>
                <w:rFonts w:ascii="Times New Roman" w:eastAsia="Times New Roman" w:hAnsi="Times New Roman" w:cs="Times New Roman"/>
              </w:rPr>
              <w:t xml:space="preserve"> у сфері охорони здоров’я, зокрема ст. ст. 9, </w:t>
            </w:r>
            <w:r w:rsidR="00FC7EED">
              <w:rPr>
                <w:rFonts w:ascii="Times New Roman" w:eastAsia="Times New Roman" w:hAnsi="Times New Roman" w:cs="Times New Roman"/>
                <w:color w:val="333333"/>
              </w:rPr>
              <w:t>9</w:t>
            </w:r>
            <w:r w:rsidR="00FC7EED">
              <w:rPr>
                <w:rFonts w:ascii="Times New Roman" w:eastAsia="Times New Roman" w:hAnsi="Times New Roman" w:cs="Times New Roman"/>
                <w:color w:val="333333"/>
                <w:vertAlign w:val="superscript"/>
              </w:rPr>
              <w:t>-1</w:t>
            </w:r>
            <w:r w:rsidR="00FC7EED">
              <w:rPr>
                <w:rFonts w:ascii="Times New Roman" w:eastAsia="Times New Roman" w:hAnsi="Times New Roman" w:cs="Times New Roman"/>
              </w:rPr>
              <w:t xml:space="preserve"> Закону України “Про лікарські засоби”, постанови Кабінету Міністрів України від 15 квітня 2022 р. № 471 "</w:t>
            </w:r>
            <w:r w:rsidR="00FC7EED">
              <w:rPr>
                <w:rFonts w:ascii="Times New Roman" w:eastAsia="Times New Roman" w:hAnsi="Times New Roman" w:cs="Times New Roman"/>
              </w:rPr>
              <w:t>Деякі питання екстреної державної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зобов’язання".</w:t>
            </w:r>
          </w:p>
          <w:p w:rsidR="007C7BFD" w:rsidRDefault="00FC7EE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разі надання реєстраційного посвідчення на лікарський засіб, зареєстрований згідно з процедурою, затвердженою постановою Кабінету Міністрів України від 15 квітня 2022 р. № 471 "Деякі питання екстреної державної реєстрації лікарських засобів, медичних іму</w:t>
            </w:r>
            <w:r>
              <w:rPr>
                <w:rFonts w:ascii="Times New Roman" w:eastAsia="Times New Roman" w:hAnsi="Times New Roman" w:cs="Times New Roman"/>
              </w:rPr>
              <w:t>нобіологічних препаратів, препаратів крові, що виробляються або постачаються в Україну протягом періоду дії воєнного стану, під зобов’язання", додатково надається:</w:t>
            </w:r>
          </w:p>
          <w:p w:rsidR="007C7BFD" w:rsidRDefault="00FC7EE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копія чинного документа, що підтверджує застосування лікарського засобу в Сполучених Штатах </w:t>
            </w:r>
            <w:r>
              <w:rPr>
                <w:rFonts w:ascii="Times New Roman" w:eastAsia="Times New Roman" w:hAnsi="Times New Roman" w:cs="Times New Roman"/>
              </w:rPr>
              <w:t>Америки, Швейцарській Конфедерації, Японії, Австралії, Канаді та/або на території держав - членів Європейського Союзу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Pharmaceutical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(Сертифікат лікарського засобу для міжнародної торгівлі); </w:t>
            </w:r>
          </w:p>
          <w:p w:rsidR="007C7BFD" w:rsidRDefault="00FC7EE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 копія іншого чинного докуме</w:t>
            </w:r>
            <w:r>
              <w:rPr>
                <w:rFonts w:ascii="Times New Roman" w:eastAsia="Times New Roman" w:hAnsi="Times New Roman" w:cs="Times New Roman"/>
              </w:rPr>
              <w:t xml:space="preserve">нта, виданого відповідним органом/установою/закладом у сфері охорони здоров'я з переліку країн, визначених у даному пункті, що підтверджує застосування лікарського засобу. 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разі здійснення державної реєстрації лікарських засобів відповідно до наказу МОЗ </w:t>
            </w:r>
            <w:r>
              <w:rPr>
                <w:rFonts w:ascii="Times New Roman" w:eastAsia="Times New Roman" w:hAnsi="Times New Roman" w:cs="Times New Roman"/>
              </w:rPr>
              <w:t xml:space="preserve">України від 15 червня 2020 р. № 1391, учасник надає Реєстраційне посвідчення на лікарський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засіб, зареєстрований з метою закупівлі особою, уповноваженою на здійснення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сфері охорони здоров’я.  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разі здійснення державної реєстрації лікарських </w:t>
            </w:r>
            <w:r>
              <w:rPr>
                <w:rFonts w:ascii="Times New Roman" w:eastAsia="Times New Roman" w:hAnsi="Times New Roman" w:cs="Times New Roman"/>
              </w:rPr>
              <w:t>засобів відповідно до наказу МОЗ України від 03 листопада 2015 р. № 721, до втрати цим наказом чинності, Учасник надає Реєстраційне посвідчення на лікарський засіб, строк дії якого продовжений відповідно до наказу МОЗ України від 14 березня 2023 р. № 489 "</w:t>
            </w:r>
            <w:r>
              <w:rPr>
                <w:rFonts w:ascii="Times New Roman" w:eastAsia="Times New Roman" w:hAnsi="Times New Roman" w:cs="Times New Roman"/>
              </w:rPr>
              <w:t>Про продовження строку дії реєстраційних посвідчень на лікарські засоби, строк дії яких закінчився або закінчується протягом періоду дії воєнного стану".</w:t>
            </w:r>
          </w:p>
          <w:p w:rsidR="007C7BFD" w:rsidRDefault="00FC7EED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(Якщо в складі тендерної пропозиції надається документ, що складений іншою мовою, ніж українська, учас</w:t>
            </w:r>
            <w:r>
              <w:rPr>
                <w:rFonts w:ascii="Times New Roman" w:eastAsia="Times New Roman" w:hAnsi="Times New Roman" w:cs="Times New Roman"/>
                <w:i/>
              </w:rPr>
              <w:t>ник повинен надати автентичний переклад такого документа українською мовою. Визначальним є текст, викладений українською мовою. Відповідальність за достовірність перекладу несе учасник).</w:t>
            </w:r>
          </w:p>
          <w:p w:rsidR="007C7BFD" w:rsidRDefault="007C7BF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7BFD" w:rsidRDefault="00251E23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C7EED">
              <w:rPr>
                <w:rFonts w:ascii="Times New Roman" w:eastAsia="Times New Roman" w:hAnsi="Times New Roman" w:cs="Times New Roman"/>
              </w:rPr>
              <w:t>.1.2. У разі, якщо на момент подання тендерної пропозиції учасником</w:t>
            </w:r>
            <w:r w:rsidR="00FC7EED">
              <w:rPr>
                <w:rFonts w:ascii="Times New Roman" w:eastAsia="Times New Roman" w:hAnsi="Times New Roman" w:cs="Times New Roman"/>
              </w:rPr>
              <w:t xml:space="preserve"> строк дії реєстраційного посвідчення подовжений наказом МОЗ України на один рік з дати закінчення строку дії реєстраційного посвідчення лікарського засобу та/або на строк дії воєнного стану, та/або на шість місяців з дня припинення або скасування воєнного</w:t>
            </w:r>
            <w:r w:rsidR="00FC7EED">
              <w:rPr>
                <w:rFonts w:ascii="Times New Roman" w:eastAsia="Times New Roman" w:hAnsi="Times New Roman" w:cs="Times New Roman"/>
              </w:rPr>
              <w:t xml:space="preserve"> стану,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АБО строк дії реєстраційного посвідчення на лікарський засіб, який закуповується особою, уповноваженою на здійснення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сфері охорони здоров’я, що діяло до 1 квітня 2023 р., продовжений до введення в дію Закону України "Про лікарські засо</w:t>
            </w:r>
            <w:r>
              <w:rPr>
                <w:rFonts w:ascii="Times New Roman" w:eastAsia="Times New Roman" w:hAnsi="Times New Roman" w:cs="Times New Roman"/>
              </w:rPr>
              <w:t>би" від 28 липня 2022 р. № 2469-IX виключно для виконання програм та здійснення централізованих заходів з охорони здоров’я,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учасник надає копію реєстраційного посвідчення на лікарський засіб, термін якого сплив, та роздруківку з Державного реєстру лікарськ</w:t>
            </w:r>
            <w:r>
              <w:rPr>
                <w:rFonts w:ascii="Times New Roman" w:eastAsia="Times New Roman" w:hAnsi="Times New Roman" w:cs="Times New Roman"/>
              </w:rPr>
              <w:t xml:space="preserve">их засобів України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або витяг з відповідного наказу МОЗ України</w:t>
            </w:r>
            <w:r>
              <w:rPr>
                <w:rFonts w:ascii="Times New Roman" w:eastAsia="Times New Roman" w:hAnsi="Times New Roman" w:cs="Times New Roman"/>
              </w:rPr>
              <w:t xml:space="preserve"> з інформацією про продовження строку дії такого реєстраційного посвідчення. </w:t>
            </w:r>
          </w:p>
          <w:p w:rsidR="007C7BFD" w:rsidRDefault="00FC7EED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6.1.3. Копія інструкції для медичного застосування, викладена державною мовою, або копія інструкції про застосування</w:t>
            </w:r>
            <w:r>
              <w:rPr>
                <w:rFonts w:ascii="Times New Roman" w:eastAsia="Times New Roman" w:hAnsi="Times New Roman" w:cs="Times New Roman"/>
              </w:rPr>
              <w:t xml:space="preserve"> лікарського засобу, викладена державною мовою. 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 разі якщо лікарський засіб зареєстрований відповідно до наказу МОЗ України від 15 червня 2020 р. № 1391 з метою закупівлі особою, уповноваженою на здійснення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сфері охорони здоров’я, або відпов</w:t>
            </w:r>
            <w:r>
              <w:rPr>
                <w:rFonts w:ascii="Times New Roman" w:eastAsia="Times New Roman" w:hAnsi="Times New Roman" w:cs="Times New Roman"/>
              </w:rPr>
              <w:t>ідно до наказу МОЗ України від 03 листопада 2015 р. № 721, або відповідно постанови Кабінету Міністрів України від 15 квітня 2022 р. № 471, учасник надає копію  інструкції про застосування лікарського засобу (іншої інформації про застосування лікарського з</w:t>
            </w:r>
            <w:r>
              <w:rPr>
                <w:rFonts w:ascii="Times New Roman" w:eastAsia="Times New Roman" w:hAnsi="Times New Roman" w:cs="Times New Roman"/>
              </w:rPr>
              <w:t>асобу), викладеної мовою оригіналу (мовою, відмінною від державної), та переклад інструкції про застосування лікарського засобу (іншої інформації про застосування лікарського засобу) державною (українською) мовою, які затверджені відповідним наказом МОЗ Ук</w:t>
            </w:r>
            <w:r>
              <w:rPr>
                <w:rFonts w:ascii="Times New Roman" w:eastAsia="Times New Roman" w:hAnsi="Times New Roman" w:cs="Times New Roman"/>
              </w:rPr>
              <w:t>раїни про реєстрацію такого лікарського засобу,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АБО переклад інструкції про застосування лікарського засобу (іншої інформації про застосування лікарського засобу) державною (українською) мовою, які затверджені відповідним наказом МОЗ України про реєстрацію</w:t>
            </w:r>
            <w:r>
              <w:rPr>
                <w:rFonts w:ascii="Times New Roman" w:eastAsia="Times New Roman" w:hAnsi="Times New Roman" w:cs="Times New Roman"/>
              </w:rPr>
              <w:t xml:space="preserve"> такого лікарського засобу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7C7BFD" w:rsidRDefault="00FC7EED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(Якщо в складі тендерної пропозиції надається документ, що складений іншою мовою, ніж українська, учасник повинен надати автентичний переклад такого документа українською мовою. Визначальним є текст, викладений українською мовою</w:t>
            </w:r>
            <w:r>
              <w:rPr>
                <w:rFonts w:ascii="Times New Roman" w:eastAsia="Times New Roman" w:hAnsi="Times New Roman" w:cs="Times New Roman"/>
                <w:i/>
              </w:rPr>
              <w:t>. Відповідальність за достовірність перекладу несе учасник).</w:t>
            </w:r>
          </w:p>
        </w:tc>
      </w:tr>
      <w:tr w:rsidR="007C7BFD">
        <w:tc>
          <w:tcPr>
            <w:tcW w:w="846" w:type="dxa"/>
          </w:tcPr>
          <w:p w:rsidR="007C7BFD" w:rsidRDefault="00251E23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  <w:r w:rsidR="00FC7EE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</w:tcPr>
          <w:p w:rsidR="007C7BFD" w:rsidRDefault="00FC7EED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Вимоги щодо якості</w:t>
            </w:r>
          </w:p>
          <w:p w:rsidR="007C7BFD" w:rsidRDefault="007C7BFD">
            <w:pPr>
              <w:spacing w:before="240" w:after="24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 Копії чинних документів, виданих Державною службою України з лікарських засобів та контролю за наркотиками, що підтверджують відповідність умов виробництва запропонованих лікарських засобів вимогам до виробництва лікарських засобів в Україні, на вироб</w:t>
            </w:r>
            <w:r>
              <w:rPr>
                <w:rFonts w:ascii="Times New Roman" w:eastAsia="Times New Roman" w:hAnsi="Times New Roman" w:cs="Times New Roman"/>
              </w:rPr>
              <w:t xml:space="preserve">ничі дільниці (зазначені у реєстраційному посвідченні, виданому МОЗ України, або в матеріалах реєстраційного досьє), </w:t>
            </w:r>
            <w:r>
              <w:rPr>
                <w:rFonts w:ascii="Times New Roman" w:eastAsia="Times New Roman" w:hAnsi="Times New Roman" w:cs="Times New Roman"/>
                <w:b/>
              </w:rPr>
              <w:t>які є відповідальними за випуск (сертифікацію) серії* готового лікарського засобу, який постачається (буде постачатися) в Україну,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АБО 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</w:t>
            </w:r>
            <w:r>
              <w:rPr>
                <w:rFonts w:ascii="Times New Roman" w:eastAsia="Times New Roman" w:hAnsi="Times New Roman" w:cs="Times New Roman"/>
              </w:rPr>
              <w:t xml:space="preserve">ії чинних сертифікатів відповідності умов виробництва лікарських засобів вимогам GMP, видані компетентним  органом Великої Британії, Сполучених Штатів Америки, Канади, Швейцарської Конфедерації, Нової Зеландії, Австралії, Японії,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Ізраїля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держав - членів Є</w:t>
            </w:r>
            <w:r>
              <w:rPr>
                <w:rFonts w:ascii="Times New Roman" w:eastAsia="Times New Roman" w:hAnsi="Times New Roman" w:cs="Times New Roman"/>
              </w:rPr>
              <w:t xml:space="preserve">вропейського Союзу на виробничі дільниці (зазначені у реєстраційному посвідченні, виданому МОЗ України, або в матеріалах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реєстраційного досьє), які є відповідальними за випуск (сертифікацію) серії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готового лікарського засобу, який постачається (буде поста</w:t>
            </w:r>
            <w:r>
              <w:rPr>
                <w:rFonts w:ascii="Times New Roman" w:eastAsia="Times New Roman" w:hAnsi="Times New Roman" w:cs="Times New Roman"/>
              </w:rPr>
              <w:t xml:space="preserve">чатися) в Україну, </w:t>
            </w:r>
            <w:r>
              <w:rPr>
                <w:rFonts w:ascii="Times New Roman" w:eastAsia="Times New Roman" w:hAnsi="Times New Roman" w:cs="Times New Roman"/>
                <w:b/>
              </w:rPr>
              <w:t>викладені мовою оригіналу</w:t>
            </w:r>
            <w:r>
              <w:rPr>
                <w:rFonts w:ascii="Times New Roman" w:eastAsia="Times New Roman" w:hAnsi="Times New Roman" w:cs="Times New Roman"/>
              </w:rPr>
              <w:t xml:space="preserve"> (мовою, відмінною від державної), </w:t>
            </w:r>
            <w:r>
              <w:rPr>
                <w:rFonts w:ascii="Times New Roman" w:eastAsia="Times New Roman" w:hAnsi="Times New Roman" w:cs="Times New Roman"/>
                <w:b/>
              </w:rPr>
              <w:t>та їх автентичний переклад</w:t>
            </w:r>
            <w:r>
              <w:rPr>
                <w:rFonts w:ascii="Times New Roman" w:eastAsia="Times New Roman" w:hAnsi="Times New Roman" w:cs="Times New Roman"/>
              </w:rPr>
              <w:t xml:space="preserve"> на державну (українську) мову;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випадку, якщо сертифікат відповідності умов виробництва лікарських засобів вимогам GMP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внесено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бази даних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EudraGMP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Великої Британії, електронного реєстру FDA США або Канади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учасник може надати роздруківку з бази даних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EudraGMP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MHRA GMP, електронного реєстру FDA США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Canada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та її автентичний переклад на державну (українську) мову. </w:t>
            </w:r>
          </w:p>
          <w:p w:rsidR="007C7BFD" w:rsidRDefault="00FC7EE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</w:rPr>
              <w:t>у випадку, якщо в реєстраційному посвідченні, виданому МОЗ України, або в матеріалах реєстраційного досьє, зазначено декілька виробничих дільниць, відповідальних за випуск (сертифікацію) серії готового лікарського засобу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в складі тендерної пропозиції МАЄ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БУТИ НАДАНИЙ лист-роз’яснення того, </w:t>
            </w:r>
            <w:r>
              <w:rPr>
                <w:rFonts w:ascii="Times New Roman" w:eastAsia="Times New Roman" w:hAnsi="Times New Roman" w:cs="Times New Roman"/>
                <w:i/>
              </w:rPr>
              <w:t>яка саме з таких дільниць буде відповідальна за випуск серії готового лікарського засобу, який постачається (буде постачатися) в Україну.</w:t>
            </w:r>
          </w:p>
          <w:p w:rsidR="007C7BFD" w:rsidRDefault="00FC7EED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(Якщо в складі тендерної пропозиції надається документ, що складений іншою мовою,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ніж українська, учасник повинен надати автентичний переклад такого документа українською мовою. Визначальним є текст, викладений українською мовою. Відповідальність за достовірність перекладу несе учасник). </w:t>
            </w:r>
          </w:p>
        </w:tc>
      </w:tr>
    </w:tbl>
    <w:p w:rsidR="007C7BFD" w:rsidRDefault="007C7BF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FD" w:rsidRDefault="00FC7EED">
      <w:pPr>
        <w:spacing w:before="240" w:after="240"/>
        <w:ind w:right="-7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ІІ. ВИМОГИ ДО ДОКУМЕНТІВ (ІНФОРМАЦІЇ), ЩО ВІДНОСИТЬСЯ ДО СКЛАДУ ТЕНДЕРНОЇ ПРОПОЗИЦІЇ ТА ПІДЛЯГАЄ ЗАВАНТАЖЕННЮ В ЕСЗ У ВИГЛЯДІ ФАЙЛІВ </w:t>
      </w:r>
    </w:p>
    <w:p w:rsidR="007C7BFD" w:rsidRDefault="00FC7EED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Кожен файл, який містить документ/інформацію, завантажується учасником у форматах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(якщо інше не 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бачено умовами тендерної документації) із зазначенням назви документа/інформації (крім файлу/-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що підтверджує/-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надання учасником забезпечення тендерної пропозиції (у разі, якщо таке забезпечення вимагається замовником)). Формати файлів повинні бути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доступними для загального перегляду без придбання спеціалізованого програмного забезпечення. </w:t>
      </w:r>
    </w:p>
    <w:p w:rsidR="007C7BFD" w:rsidRDefault="00FC7EED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Документ, розміщений на декількох сторінках, бажано завантажувати одним файлом (недотримання цієї вимоги не є підставою для відхилення пропозиції учасника). </w:t>
      </w:r>
    </w:p>
    <w:p w:rsidR="007C7BFD" w:rsidRDefault="00FC7EED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ії документів повинні бути розбірливими та читабельними. </w:t>
      </w:r>
    </w:p>
    <w:p w:rsidR="007C7BFD" w:rsidRDefault="007C7BFD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FD" w:rsidRDefault="00FC7EED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Перелік документів, які вимагаються замовником в тендерній документації від учасника в складі його тендерної пропозиції, є вичерпним. </w:t>
      </w:r>
      <w:r w:rsidR="00251E23" w:rsidRPr="00251E23">
        <w:rPr>
          <w:rFonts w:ascii="Times New Roman" w:eastAsia="Times New Roman" w:hAnsi="Times New Roman" w:cs="Times New Roman"/>
          <w:b/>
          <w:sz w:val="24"/>
          <w:szCs w:val="24"/>
        </w:rPr>
        <w:t>Велике прохання до Учасника не загружати свою тендерну пропозицію лишніми документами, які не вимагались Замовником</w:t>
      </w:r>
    </w:p>
    <w:p w:rsidR="007C7BFD" w:rsidRDefault="00FC7EED">
      <w:pPr>
        <w:spacing w:before="240" w:after="240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 Замовник має право звернутися за підтвердженням інформа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ції, наданої учасником/переможцем процедури закупівлі, до органів державної влади, підприємств, установ, організацій відповідно до їх компетенції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(на підставі пункту 42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</w:t>
      </w:r>
      <w:r>
        <w:rPr>
          <w:rFonts w:ascii="Times New Roman" w:eastAsia="Times New Roman" w:hAnsi="Times New Roman" w:cs="Times New Roman"/>
          <w:sz w:val="24"/>
          <w:szCs w:val="24"/>
        </w:rPr>
        <w:t>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1178).</w:t>
      </w:r>
    </w:p>
    <w:p w:rsidR="007C7BFD" w:rsidRDefault="00FC7EED">
      <w:pPr>
        <w:spacing w:before="240" w:after="240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Пі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час проведення процедури закупівлі усі документи, що подаються учасником, викладаються українською мовою. </w:t>
      </w:r>
    </w:p>
    <w:p w:rsidR="007C7BFD" w:rsidRDefault="00FC7EED">
      <w:pPr>
        <w:spacing w:before="240" w:after="240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Усі документи, що мають відношення до тендерної пропозиції та підготовлені безпосередньо учасником, повинні бути складені українською мовою, а 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ументи, що видані іншими установами, можуть бути надані учасником у складі тендерної пропозиції українською або іншою мовою разом з перекладом. </w:t>
      </w:r>
    </w:p>
    <w:p w:rsidR="007C7BFD" w:rsidRDefault="00FC7EED">
      <w:pPr>
        <w:spacing w:before="240" w:after="240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Якщо в складі тендерної пропозиції надається документ, що складений іншою мовою, ніж українська, учасник повин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 надати автентичний переклад такого документа українською мовою.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Визначальним є текст, викладений українською мовою. Відповідальність за достовірність перекладу несе учасник. </w:t>
      </w:r>
    </w:p>
    <w:p w:rsidR="007C7BFD" w:rsidRDefault="00FC7EED">
      <w:pPr>
        <w:spacing w:before="240" w:after="240"/>
        <w:ind w:right="-74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Переклад має бути підписаний або засвідчений особою, уповноваженою на підписання тендерної пропозиції, та може бути засвідчений печаткою учасника, в разі її використання, або нотаріально засвідчений. </w:t>
      </w:r>
    </w:p>
    <w:p w:rsidR="007C7BFD" w:rsidRDefault="00FC7EED">
      <w:pPr>
        <w:spacing w:before="240" w:after="240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Дана вимога не відноситься до власних назв та/або зага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льноприйнятих визначень, термінів, малюнків, креслень тощо. </w:t>
      </w:r>
    </w:p>
    <w:p w:rsidR="007C7BFD" w:rsidRDefault="00FC7EED">
      <w:pPr>
        <w:spacing w:before="240" w:after="240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Учасники-нерезиденти подають інформацію (документи) відповідно до законодавства держав, де вони зареєстровані. </w:t>
      </w:r>
    </w:p>
    <w:p w:rsidR="007C7BFD" w:rsidRDefault="00FC7EED">
      <w:pPr>
        <w:spacing w:before="240" w:after="240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 разі, якщо учасник-нерезидент відповідно до норм законодавства держави реєст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рації не зобов’язаний складати певний документ із переліку вище, такий учасник надає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офіційний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(лист, витяг, тощо) від уповноваженого органу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 лист-роз’яснення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довільній формі за підписом уповноваженої особи учасника та засвідчений печаткою (у </w:t>
      </w:r>
      <w:r>
        <w:rPr>
          <w:rFonts w:ascii="Times New Roman" w:eastAsia="Times New Roman" w:hAnsi="Times New Roman" w:cs="Times New Roman"/>
          <w:sz w:val="24"/>
          <w:szCs w:val="24"/>
        </w:rPr>
        <w:t>разі наявності), в якому зазначає законодавчі підстави та/або причини ненадання документів.</w:t>
      </w:r>
    </w:p>
    <w:sectPr w:rsidR="007C7BFD">
      <w:headerReference w:type="default" r:id="rId7"/>
      <w:foot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ED" w:rsidRDefault="00FC7EED">
      <w:pPr>
        <w:spacing w:line="240" w:lineRule="auto"/>
      </w:pPr>
      <w:r>
        <w:separator/>
      </w:r>
    </w:p>
  </w:endnote>
  <w:endnote w:type="continuationSeparator" w:id="0">
    <w:p w:rsidR="00FC7EED" w:rsidRDefault="00FC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FD" w:rsidRDefault="007C7B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ED" w:rsidRDefault="00FC7EED">
      <w:pPr>
        <w:spacing w:line="240" w:lineRule="auto"/>
      </w:pPr>
      <w:r>
        <w:separator/>
      </w:r>
    </w:p>
  </w:footnote>
  <w:footnote w:type="continuationSeparator" w:id="0">
    <w:p w:rsidR="00FC7EED" w:rsidRDefault="00FC7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FD" w:rsidRDefault="007C7B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FD"/>
    <w:rsid w:val="00251E23"/>
    <w:rsid w:val="003408FE"/>
    <w:rsid w:val="007C7BFD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A562-C439-4E3C-BF2E-69E45FDC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AC2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1D7B"/>
    <w:pPr>
      <w:ind w:left="720"/>
      <w:contextualSpacing/>
    </w:pPr>
  </w:style>
  <w:style w:type="table" w:customStyle="1" w:styleId="a8">
    <w:basedOn w:val="TableNormal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a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9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9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9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9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9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9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9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9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ZYTbQRFak0ADLBBodvTeMoCJhA==">CgMxLjA4AGopChNzdWdnZXN0LmFvMTF1bXZybjdrEhJTZXJoaWkgT21lbGlhbmNodWtqJQoUc3VnZ2VzdC5ra2cxM3NrYWJ3dG0SDURhcmluYSBCb25kYXJqJwoUc3VnZ2VzdC4zbHczanJ4N2JsYXgSD015a3l0YSBDaGljaGthbmopChNzdWdnZXN0LnVjMTNhY2Q2Zzd5EhJTZXJoaWkgT21lbGlhbmNodWtqKgoUc3VnZ2VzdC5lZzdiMzV4MndibHESElNlcmhpaSBPbWVsaWFuY2h1a2oqChRzdWdnZXN0LnFtcnA0eGY5cXg5dRISU2VyaGlpIE9tZWxpYW5jaHVrciExQWh0ZDhXV3V5V3ZOX1I2SS1JYTg1SF94ZTd6YmlUb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Admin</cp:lastModifiedBy>
  <cp:revision>2</cp:revision>
  <dcterms:created xsi:type="dcterms:W3CDTF">2023-10-18T07:34:00Z</dcterms:created>
  <dcterms:modified xsi:type="dcterms:W3CDTF">2023-10-18T07:34:00Z</dcterms:modified>
</cp:coreProperties>
</file>