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5C89" w14:textId="77777777" w:rsidR="00F91BA1" w:rsidRPr="00F91BA1" w:rsidRDefault="00F91BA1" w:rsidP="00F91BA1">
      <w:pPr>
        <w:spacing w:after="0" w:line="240" w:lineRule="auto"/>
        <w:jc w:val="right"/>
        <w:rPr>
          <w:rFonts w:eastAsia="Calibri"/>
          <w:b/>
          <w:bCs/>
          <w:spacing w:val="-3"/>
          <w:sz w:val="24"/>
          <w:szCs w:val="24"/>
        </w:rPr>
      </w:pPr>
      <w:r w:rsidRPr="00F91BA1">
        <w:rPr>
          <w:rFonts w:eastAsia="Calibri"/>
          <w:b/>
          <w:bCs/>
          <w:spacing w:val="-3"/>
          <w:sz w:val="24"/>
          <w:szCs w:val="24"/>
          <w:lang w:val="uk-UA"/>
        </w:rPr>
        <w:t>До</w:t>
      </w:r>
      <w:proofErr w:type="spellStart"/>
      <w:r w:rsidRPr="00F91BA1">
        <w:rPr>
          <w:rFonts w:eastAsia="Calibri"/>
          <w:b/>
          <w:bCs/>
          <w:spacing w:val="-3"/>
          <w:sz w:val="24"/>
          <w:szCs w:val="24"/>
        </w:rPr>
        <w:t>даток</w:t>
      </w:r>
      <w:proofErr w:type="spellEnd"/>
      <w:r w:rsidRPr="00F91BA1">
        <w:rPr>
          <w:rFonts w:eastAsia="Calibri"/>
          <w:b/>
          <w:bCs/>
          <w:spacing w:val="-3"/>
          <w:sz w:val="24"/>
          <w:szCs w:val="24"/>
        </w:rPr>
        <w:t xml:space="preserve"> 2 до </w:t>
      </w:r>
      <w:proofErr w:type="spellStart"/>
      <w:r w:rsidRPr="00F91BA1">
        <w:rPr>
          <w:rFonts w:eastAsia="Calibri"/>
          <w:b/>
          <w:bCs/>
          <w:spacing w:val="-3"/>
          <w:sz w:val="24"/>
          <w:szCs w:val="24"/>
        </w:rPr>
        <w:t>тендерної</w:t>
      </w:r>
      <w:proofErr w:type="spellEnd"/>
      <w:r w:rsidRPr="00F91BA1">
        <w:rPr>
          <w:rFonts w:eastAsia="Calibri"/>
          <w:b/>
          <w:bCs/>
          <w:spacing w:val="-3"/>
          <w:sz w:val="24"/>
          <w:szCs w:val="24"/>
          <w:lang w:val="uk-UA"/>
        </w:rPr>
        <w:t xml:space="preserve">  </w:t>
      </w:r>
      <w:proofErr w:type="spellStart"/>
      <w:r w:rsidRPr="00F91BA1">
        <w:rPr>
          <w:rFonts w:eastAsia="Calibri"/>
          <w:b/>
          <w:bCs/>
          <w:spacing w:val="-3"/>
          <w:sz w:val="24"/>
          <w:szCs w:val="24"/>
        </w:rPr>
        <w:t>документації</w:t>
      </w:r>
      <w:proofErr w:type="spellEnd"/>
    </w:p>
    <w:p w14:paraId="70F8AD29" w14:textId="77777777" w:rsidR="00F91BA1" w:rsidRPr="00F91BA1" w:rsidRDefault="00F91BA1" w:rsidP="00F91BA1">
      <w:pPr>
        <w:keepLines/>
        <w:autoSpaceDE w:val="0"/>
        <w:autoSpaceDN w:val="0"/>
        <w:spacing w:after="0" w:line="240" w:lineRule="auto"/>
        <w:jc w:val="center"/>
        <w:rPr>
          <w:rFonts w:eastAsia="Calibri"/>
          <w:b/>
          <w:bCs/>
          <w:spacing w:val="-3"/>
          <w:sz w:val="24"/>
          <w:szCs w:val="24"/>
        </w:rPr>
      </w:pPr>
    </w:p>
    <w:p w14:paraId="0F180358" w14:textId="77777777" w:rsidR="00F91BA1" w:rsidRPr="00F91BA1" w:rsidRDefault="00F91BA1" w:rsidP="00F91BA1">
      <w:pPr>
        <w:keepLines/>
        <w:autoSpaceDE w:val="0"/>
        <w:autoSpaceDN w:val="0"/>
        <w:spacing w:after="0" w:line="240" w:lineRule="auto"/>
        <w:jc w:val="center"/>
        <w:rPr>
          <w:rFonts w:eastAsia="Calibri"/>
          <w:b/>
          <w:bCs/>
          <w:spacing w:val="-3"/>
          <w:sz w:val="24"/>
          <w:szCs w:val="24"/>
        </w:rPr>
      </w:pPr>
    </w:p>
    <w:p w14:paraId="27450DC7" w14:textId="77777777" w:rsidR="00F91BA1" w:rsidRPr="00F91BA1" w:rsidRDefault="00F91BA1" w:rsidP="00F91BA1">
      <w:pPr>
        <w:keepLines/>
        <w:autoSpaceDE w:val="0"/>
        <w:autoSpaceDN w:val="0"/>
        <w:spacing w:after="0" w:line="240" w:lineRule="auto"/>
        <w:jc w:val="center"/>
        <w:rPr>
          <w:rFonts w:eastAsia="Calibri"/>
          <w:b/>
          <w:bCs/>
          <w:spacing w:val="-3"/>
          <w:sz w:val="24"/>
          <w:szCs w:val="24"/>
          <w:lang w:val="uk-UA"/>
        </w:rPr>
      </w:pPr>
      <w:proofErr w:type="spellStart"/>
      <w:r w:rsidRPr="00F91BA1">
        <w:rPr>
          <w:rFonts w:eastAsia="Calibri"/>
          <w:b/>
          <w:bCs/>
          <w:spacing w:val="-3"/>
          <w:sz w:val="24"/>
          <w:szCs w:val="24"/>
        </w:rPr>
        <w:t>Технічне</w:t>
      </w:r>
      <w:proofErr w:type="spellEnd"/>
      <w:r w:rsidRPr="00F91BA1">
        <w:rPr>
          <w:rFonts w:eastAsia="Calibri"/>
          <w:b/>
          <w:bCs/>
          <w:spacing w:val="-3"/>
          <w:sz w:val="24"/>
          <w:szCs w:val="24"/>
          <w:lang w:val="uk-UA"/>
        </w:rPr>
        <w:t xml:space="preserve"> </w:t>
      </w:r>
      <w:proofErr w:type="spellStart"/>
      <w:r w:rsidRPr="00F91BA1">
        <w:rPr>
          <w:rFonts w:eastAsia="Calibri"/>
          <w:b/>
          <w:bCs/>
          <w:spacing w:val="-3"/>
          <w:sz w:val="24"/>
          <w:szCs w:val="24"/>
        </w:rPr>
        <w:t>завдання</w:t>
      </w:r>
      <w:proofErr w:type="spellEnd"/>
    </w:p>
    <w:p w14:paraId="1A4FE943" w14:textId="034BADFB" w:rsidR="001C32DD" w:rsidRPr="00F91BA1" w:rsidRDefault="00F91BA1" w:rsidP="00F91BA1">
      <w:pPr>
        <w:keepLines/>
        <w:autoSpaceDE w:val="0"/>
        <w:autoSpaceDN w:val="0"/>
        <w:spacing w:after="0" w:line="240" w:lineRule="auto"/>
        <w:jc w:val="center"/>
        <w:rPr>
          <w:rFonts w:eastAsia="Calibri"/>
          <w:b/>
          <w:bCs/>
          <w:spacing w:val="-3"/>
          <w:sz w:val="24"/>
          <w:szCs w:val="24"/>
          <w:lang w:val="uk-UA"/>
        </w:rPr>
      </w:pPr>
      <w:r w:rsidRPr="00F91BA1">
        <w:rPr>
          <w:rFonts w:eastAsia="Calibri"/>
          <w:b/>
          <w:bCs/>
          <w:spacing w:val="-3"/>
          <w:sz w:val="24"/>
          <w:szCs w:val="24"/>
          <w:lang w:val="uk-UA"/>
        </w:rPr>
        <w:t xml:space="preserve">щодо предмету закупівлі – </w:t>
      </w:r>
      <w:r w:rsidRPr="00F91BA1">
        <w:rPr>
          <w:rFonts w:eastAsia="Calibri"/>
          <w:b/>
          <w:bCs/>
          <w:color w:val="FF0000"/>
          <w:spacing w:val="-3"/>
          <w:sz w:val="24"/>
          <w:szCs w:val="24"/>
          <w:lang w:val="uk-UA"/>
        </w:rPr>
        <w:t>ЛОТ 1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3"/>
        <w:gridCol w:w="435"/>
      </w:tblGrid>
      <w:tr w:rsidR="00B757B8" w:rsidRPr="00F91BA1" w14:paraId="4781FAAC" w14:textId="77777777" w:rsidTr="000D60E1">
        <w:trPr>
          <w:trHeight w:val="84"/>
          <w:jc w:val="center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14:paraId="1CD5E31F" w14:textId="77777777" w:rsidR="00B757B8" w:rsidRPr="00F91BA1" w:rsidRDefault="00B757B8" w:rsidP="000D60E1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  <w:p w14:paraId="1EC5409F" w14:textId="77777777" w:rsidR="00F91BA1" w:rsidRPr="00F91BA1" w:rsidRDefault="00F91BA1" w:rsidP="00F91BA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91BA1">
              <w:rPr>
                <w:b/>
                <w:sz w:val="24"/>
                <w:szCs w:val="24"/>
                <w:lang w:val="uk-UA" w:eastAsia="ru-RU"/>
              </w:rPr>
              <w:t xml:space="preserve">Поточний ремонт з усунення аварійних металевих сходів ЖДНЗ №10 </w:t>
            </w:r>
          </w:p>
          <w:p w14:paraId="0C6ED8BD" w14:textId="279C5749" w:rsidR="00F91BA1" w:rsidRPr="00F91BA1" w:rsidRDefault="00F91BA1" w:rsidP="00F91BA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91BA1">
              <w:rPr>
                <w:b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F91BA1">
              <w:rPr>
                <w:b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F91BA1">
              <w:rPr>
                <w:b/>
                <w:sz w:val="24"/>
                <w:szCs w:val="24"/>
                <w:lang w:val="uk-UA" w:eastAsia="ru-RU"/>
              </w:rPr>
              <w:t>: м. Житомир, вул. Михайла Грушевського 89/97</w:t>
            </w:r>
          </w:p>
          <w:p w14:paraId="137D93DE" w14:textId="77777777" w:rsidR="00F91BA1" w:rsidRPr="00F91BA1" w:rsidRDefault="00F91BA1" w:rsidP="00F91BA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14:paraId="5476EC0F" w14:textId="539E70E2" w:rsidR="00B757B8" w:rsidRPr="00F91BA1" w:rsidRDefault="00F91BA1" w:rsidP="00F91BA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91BA1">
              <w:rPr>
                <w:b/>
                <w:sz w:val="24"/>
                <w:szCs w:val="24"/>
                <w:lang w:val="uk-UA" w:eastAsia="ru-RU"/>
              </w:rPr>
              <w:t>(ДК 021:2015: 45450000-6 - Інші завершальні будівельні роботи)</w:t>
            </w:r>
          </w:p>
          <w:p w14:paraId="714AE672" w14:textId="77777777" w:rsidR="00B757B8" w:rsidRPr="00F91BA1" w:rsidRDefault="00B757B8" w:rsidP="000D60E1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  <w:p w14:paraId="61778BF0" w14:textId="77777777" w:rsidR="00B757B8" w:rsidRPr="00F91BA1" w:rsidRDefault="00B757B8" w:rsidP="000D60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91BA1">
              <w:rPr>
                <w:b/>
                <w:sz w:val="24"/>
                <w:szCs w:val="24"/>
                <w:lang w:val="uk-UA" w:eastAsia="ru-RU"/>
              </w:rPr>
              <w:t>Загальний опис робіт</w:t>
            </w:r>
          </w:p>
          <w:p w14:paraId="42405F03" w14:textId="77777777" w:rsidR="00B757B8" w:rsidRPr="00F91BA1" w:rsidRDefault="00B757B8" w:rsidP="000D60E1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uk-UA" w:eastAsia="ru-RU"/>
              </w:rPr>
            </w:pPr>
            <w:r w:rsidRPr="00F91BA1">
              <w:rPr>
                <w:sz w:val="24"/>
                <w:szCs w:val="24"/>
                <w:lang w:val="uk-UA" w:eastAsia="ru-RU"/>
              </w:rPr>
              <w:t>Технічним завданням передбачений ремонт металевих сходів з влаштуванням бетонного фундаменту</w:t>
            </w:r>
            <w:r w:rsidR="000C72E0" w:rsidRPr="00F91BA1">
              <w:rPr>
                <w:sz w:val="24"/>
                <w:szCs w:val="24"/>
                <w:lang w:val="uk-UA" w:eastAsia="ru-RU"/>
              </w:rPr>
              <w:t xml:space="preserve">, </w:t>
            </w:r>
            <w:r w:rsidRPr="00F91BA1">
              <w:rPr>
                <w:sz w:val="24"/>
                <w:szCs w:val="24"/>
                <w:lang w:val="uk-UA" w:eastAsia="ru-RU"/>
              </w:rPr>
              <w:t xml:space="preserve">подальшим </w:t>
            </w:r>
            <w:proofErr w:type="spellStart"/>
            <w:r w:rsidRPr="00F91BA1">
              <w:rPr>
                <w:sz w:val="24"/>
                <w:szCs w:val="24"/>
                <w:lang w:val="uk-UA" w:eastAsia="ru-RU"/>
              </w:rPr>
              <w:t>грунтуванням</w:t>
            </w:r>
            <w:proofErr w:type="spellEnd"/>
            <w:r w:rsidRPr="00F91BA1">
              <w:rPr>
                <w:sz w:val="24"/>
                <w:szCs w:val="24"/>
                <w:lang w:val="uk-UA" w:eastAsia="ru-RU"/>
              </w:rPr>
              <w:t xml:space="preserve"> та фарбуванням.</w:t>
            </w:r>
          </w:p>
          <w:p w14:paraId="3A89D45A" w14:textId="77777777" w:rsidR="00B757B8" w:rsidRPr="00F91BA1" w:rsidRDefault="00B757B8" w:rsidP="000D60E1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uk-UA" w:eastAsia="ru-RU"/>
              </w:rPr>
            </w:pPr>
          </w:p>
          <w:p w14:paraId="54A44780" w14:textId="77777777" w:rsidR="00B757B8" w:rsidRPr="00F91BA1" w:rsidRDefault="00B757B8" w:rsidP="000D60E1">
            <w:pPr>
              <w:autoSpaceDE w:val="0"/>
              <w:autoSpaceDN w:val="0"/>
              <w:spacing w:after="0" w:line="240" w:lineRule="auto"/>
              <w:jc w:val="center"/>
              <w:rPr>
                <w:b/>
                <w:spacing w:val="-3"/>
                <w:sz w:val="24"/>
                <w:szCs w:val="24"/>
                <w:lang w:val="uk-UA" w:eastAsia="ru-RU"/>
              </w:rPr>
            </w:pPr>
            <w:r w:rsidRPr="00F91BA1">
              <w:rPr>
                <w:b/>
                <w:spacing w:val="-3"/>
                <w:sz w:val="24"/>
                <w:szCs w:val="24"/>
                <w:lang w:val="uk-UA" w:eastAsia="ru-RU"/>
              </w:rPr>
              <w:t>Вимоги до якості поточного ремонту</w:t>
            </w:r>
          </w:p>
          <w:p w14:paraId="3D57EC4A" w14:textId="77777777" w:rsidR="00B757B8" w:rsidRPr="00F91BA1" w:rsidRDefault="00B757B8" w:rsidP="00B757B8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spacing w:val="-3"/>
                <w:sz w:val="24"/>
                <w:szCs w:val="24"/>
                <w:lang w:val="uk-UA" w:eastAsia="ru-RU"/>
              </w:rPr>
            </w:pPr>
            <w:r w:rsidRPr="00F91BA1">
              <w:rPr>
                <w:spacing w:val="-3"/>
                <w:sz w:val="24"/>
                <w:szCs w:val="24"/>
                <w:lang w:val="uk-UA" w:eastAsia="ru-RU"/>
              </w:rPr>
              <w:t>Відповідність вимогам зовнішнього вигляду.</w:t>
            </w:r>
          </w:p>
          <w:p w14:paraId="7110B736" w14:textId="77777777" w:rsidR="00B757B8" w:rsidRPr="00F91BA1" w:rsidRDefault="00B757B8" w:rsidP="00B757B8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spacing w:val="-3"/>
                <w:sz w:val="24"/>
                <w:szCs w:val="24"/>
                <w:lang w:val="uk-UA" w:eastAsia="ru-RU"/>
              </w:rPr>
            </w:pPr>
            <w:r w:rsidRPr="00F91BA1">
              <w:rPr>
                <w:spacing w:val="-3"/>
                <w:sz w:val="24"/>
                <w:szCs w:val="24"/>
                <w:lang w:val="uk-UA" w:eastAsia="ru-RU"/>
              </w:rPr>
              <w:t>Мати високі зносостійкі властивості.</w:t>
            </w:r>
          </w:p>
          <w:p w14:paraId="295174C6" w14:textId="77777777" w:rsidR="00B757B8" w:rsidRPr="00F91BA1" w:rsidRDefault="00B757B8" w:rsidP="00B757B8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spacing w:val="-3"/>
                <w:sz w:val="24"/>
                <w:szCs w:val="24"/>
                <w:lang w:val="uk-UA" w:eastAsia="ru-RU"/>
              </w:rPr>
            </w:pPr>
            <w:r w:rsidRPr="00F91BA1">
              <w:rPr>
                <w:spacing w:val="-3"/>
                <w:sz w:val="24"/>
                <w:szCs w:val="24"/>
                <w:lang w:val="uk-UA" w:eastAsia="ru-RU"/>
              </w:rPr>
              <w:t>Відповідність вимогам безпеки.</w:t>
            </w:r>
          </w:p>
          <w:p w14:paraId="34F9A7F9" w14:textId="77777777" w:rsidR="00B757B8" w:rsidRPr="00F91BA1" w:rsidRDefault="00B757B8" w:rsidP="00B757B8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spacing w:val="-3"/>
                <w:sz w:val="24"/>
                <w:szCs w:val="24"/>
                <w:lang w:val="uk-UA" w:eastAsia="ru-RU"/>
              </w:rPr>
            </w:pPr>
            <w:r w:rsidRPr="00F91BA1">
              <w:rPr>
                <w:spacing w:val="-3"/>
                <w:sz w:val="24"/>
                <w:szCs w:val="24"/>
                <w:lang w:val="uk-UA" w:eastAsia="ru-RU"/>
              </w:rPr>
              <w:t xml:space="preserve">Застосовувати сертифіковані матеріали. </w:t>
            </w:r>
          </w:p>
          <w:p w14:paraId="68ADBF57" w14:textId="77777777" w:rsidR="00B757B8" w:rsidRPr="00F91BA1" w:rsidRDefault="00B757B8" w:rsidP="00B757B8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color w:val="FF0000"/>
                <w:spacing w:val="-3"/>
                <w:sz w:val="24"/>
                <w:szCs w:val="24"/>
                <w:lang w:val="uk-UA" w:eastAsia="ru-RU"/>
              </w:rPr>
            </w:pPr>
            <w:r w:rsidRPr="00F91BA1">
              <w:rPr>
                <w:spacing w:val="-3"/>
                <w:sz w:val="24"/>
                <w:szCs w:val="24"/>
                <w:lang w:val="uk-UA" w:eastAsia="ru-RU"/>
              </w:rPr>
              <w:t>Роботи виконувати відповідно до</w:t>
            </w:r>
            <w:r w:rsidRPr="00F91BA1">
              <w:rPr>
                <w:color w:val="FF0000"/>
                <w:spacing w:val="-3"/>
                <w:sz w:val="24"/>
                <w:szCs w:val="24"/>
                <w:lang w:val="uk-UA" w:eastAsia="ru-RU"/>
              </w:rPr>
              <w:t xml:space="preserve"> </w:t>
            </w:r>
            <w:r w:rsidRPr="00F91BA1">
              <w:rPr>
                <w:color w:val="1D1D1B"/>
                <w:sz w:val="24"/>
                <w:szCs w:val="24"/>
                <w:shd w:val="clear" w:color="auto" w:fill="FFFFFF"/>
                <w:lang w:eastAsia="ru-RU"/>
              </w:rPr>
              <w:t>ДБН В.2.2-3:2018</w:t>
            </w:r>
            <w:r w:rsidRPr="00F91BA1">
              <w:rPr>
                <w:color w:val="1D1D1B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r w:rsidRPr="00F91BA1">
              <w:rPr>
                <w:color w:val="1D1D1B"/>
                <w:sz w:val="24"/>
                <w:szCs w:val="24"/>
                <w:shd w:val="clear" w:color="auto" w:fill="FFFFFF"/>
                <w:lang w:eastAsia="ru-RU"/>
              </w:rPr>
              <w:t xml:space="preserve"> ДБН В.2.2-</w:t>
            </w:r>
            <w:r w:rsidRPr="00F91BA1">
              <w:rPr>
                <w:color w:val="1D1D1B"/>
                <w:sz w:val="24"/>
                <w:szCs w:val="24"/>
                <w:shd w:val="clear" w:color="auto" w:fill="FFFFFF"/>
                <w:lang w:val="uk-UA" w:eastAsia="ru-RU"/>
              </w:rPr>
              <w:t>4</w:t>
            </w:r>
            <w:r w:rsidRPr="00F91BA1">
              <w:rPr>
                <w:color w:val="1D1D1B"/>
                <w:sz w:val="24"/>
                <w:szCs w:val="24"/>
                <w:shd w:val="clear" w:color="auto" w:fill="FFFFFF"/>
                <w:lang w:eastAsia="ru-RU"/>
              </w:rPr>
              <w:t>:2018</w:t>
            </w:r>
          </w:p>
          <w:p w14:paraId="6C925C2C" w14:textId="77777777" w:rsidR="00B757B8" w:rsidRPr="00F91BA1" w:rsidRDefault="009C6FB5" w:rsidP="000C72E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color w:val="FF0000"/>
                <w:spacing w:val="-3"/>
                <w:sz w:val="24"/>
                <w:szCs w:val="24"/>
                <w:lang w:val="uk-UA" w:eastAsia="ru-RU"/>
              </w:rPr>
            </w:pPr>
            <w:r w:rsidRPr="00F91BA1">
              <w:rPr>
                <w:color w:val="FF0000"/>
                <w:sz w:val="24"/>
                <w:szCs w:val="24"/>
                <w:shd w:val="clear" w:color="auto" w:fill="FFFFFF"/>
                <w:lang w:val="uk-UA" w:eastAsia="ru-RU"/>
              </w:rPr>
              <w:t xml:space="preserve">При монтажі металоконструкцій врахувати </w:t>
            </w:r>
            <w:r w:rsidR="000C72E0" w:rsidRPr="00F91BA1">
              <w:rPr>
                <w:color w:val="FF0000"/>
                <w:sz w:val="24"/>
                <w:szCs w:val="24"/>
                <w:shd w:val="clear" w:color="auto" w:fill="FFFFFF"/>
                <w:lang w:val="uk-UA" w:eastAsia="ru-RU"/>
              </w:rPr>
              <w:t>відстань до фасаду з можливістю подальшого утеплення будівлі.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E6EF95" w14:textId="77777777" w:rsidR="00B757B8" w:rsidRPr="00F91BA1" w:rsidRDefault="00B757B8" w:rsidP="000D6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91BA1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757B8" w:rsidRPr="00F91BA1" w14:paraId="23D6AF6A" w14:textId="77777777" w:rsidTr="000D60E1">
        <w:trPr>
          <w:trHeight w:val="303"/>
          <w:jc w:val="center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14:paraId="607A86A1" w14:textId="77777777" w:rsidR="00B757B8" w:rsidRPr="00F91BA1" w:rsidRDefault="00B757B8" w:rsidP="000D60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 w:rsidRPr="00F91BA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8BA8C7" w14:textId="77777777" w:rsidR="00B757B8" w:rsidRPr="00F91BA1" w:rsidRDefault="00B757B8" w:rsidP="000D6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57B8" w:rsidRPr="00F91BA1" w14:paraId="686F0675" w14:textId="77777777" w:rsidTr="000D60E1">
        <w:trPr>
          <w:trHeight w:val="288"/>
          <w:jc w:val="center"/>
        </w:trPr>
        <w:tc>
          <w:tcPr>
            <w:tcW w:w="10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4362B" w14:textId="77777777" w:rsidR="00B757B8" w:rsidRPr="00F91BA1" w:rsidRDefault="00B757B8" w:rsidP="0006498D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91BA1">
              <w:rPr>
                <w:b/>
                <w:sz w:val="24"/>
                <w:szCs w:val="24"/>
                <w:lang w:val="uk-UA" w:eastAsia="ru-RU"/>
              </w:rPr>
              <w:t>Умови виконання робіт</w:t>
            </w:r>
            <w:r w:rsidRPr="00F91BA1">
              <w:rPr>
                <w:sz w:val="24"/>
                <w:szCs w:val="24"/>
                <w:lang w:val="uk-UA" w:eastAsia="ru-RU"/>
              </w:rPr>
              <w:t xml:space="preserve"> - застосований коефіцієнт К=1,2 до норм витрат труда робітників, зайнятих на ремонтно-будівельних роботах. машиністів, часу експлуатації будівельних машин та механізмів для урахування впливу умов виконання робіт "в будівлях, що експлуатуються, звільнених від меблів, устаткування та інших предметів" згідно </w:t>
            </w:r>
            <w:r w:rsidR="000C72E0" w:rsidRPr="00F91BA1">
              <w:rPr>
                <w:sz w:val="24"/>
                <w:szCs w:val="24"/>
                <w:lang w:val="uk-UA" w:eastAsia="ru-RU"/>
              </w:rPr>
              <w:t xml:space="preserve">«Вказівок із застосування» </w:t>
            </w:r>
            <w:r w:rsidR="0006498D" w:rsidRPr="00F91BA1">
              <w:rPr>
                <w:sz w:val="24"/>
                <w:szCs w:val="24"/>
                <w:lang w:val="uk-UA" w:eastAsia="ru-RU"/>
              </w:rPr>
              <w:t xml:space="preserve">дод. </w:t>
            </w:r>
            <w:r w:rsidRPr="00F91BA1">
              <w:rPr>
                <w:sz w:val="24"/>
                <w:szCs w:val="24"/>
                <w:lang w:val="uk-UA" w:eastAsia="ru-RU"/>
              </w:rPr>
              <w:t>Б табл.Б1 п.1</w:t>
            </w:r>
            <w:r w:rsidR="0006498D" w:rsidRPr="00F91BA1">
              <w:rPr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68C7CBF3" w14:textId="77777777" w:rsidR="007F4054" w:rsidRPr="00F91BA1" w:rsidRDefault="007F4054">
      <w:pPr>
        <w:rPr>
          <w:sz w:val="24"/>
          <w:szCs w:val="24"/>
          <w:lang w:val="uk-UA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7F4054" w:rsidRPr="00F91BA1" w14:paraId="70F0A367" w14:textId="77777777" w:rsidTr="00B302A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80D28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№</w:t>
            </w:r>
          </w:p>
          <w:p w14:paraId="084D963F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91BA1">
              <w:rPr>
                <w:spacing w:val="-3"/>
                <w:sz w:val="24"/>
                <w:szCs w:val="24"/>
                <w:lang w:val="uk-UA"/>
              </w:rPr>
              <w:t>Ч.ч</w:t>
            </w:r>
            <w:proofErr w:type="spellEnd"/>
            <w:r w:rsidRPr="00F91BA1">
              <w:rPr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8992C8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  <w:p w14:paraId="6FD0B65B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F0A7A3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Одиниця</w:t>
            </w:r>
          </w:p>
          <w:p w14:paraId="0F5BE552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92ABE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699E73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7F4054" w:rsidRPr="00F91BA1" w14:paraId="0B80E411" w14:textId="77777777" w:rsidTr="00B302A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8966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D8E5F3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FA513B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EF84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9385CD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7F4054" w:rsidRPr="00F91BA1" w14:paraId="08097042" w14:textId="77777777" w:rsidTr="00B302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A0470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93997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en-US"/>
              </w:rPr>
              <w:t>ДЕМОНТАЖ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34E30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B7CDA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0182F2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</w:tr>
      <w:tr w:rsidR="007F4054" w:rsidRPr="00F91BA1" w14:paraId="0F4ED119" w14:textId="77777777" w:rsidTr="00B302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244E7E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hideMark/>
          </w:tcPr>
          <w:p w14:paraId="24E432A8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(Демонтаж) Монтаж металоконструкцій сходів,</w:t>
            </w:r>
          </w:p>
          <w:p w14:paraId="61782CAC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площадок, огороджень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56B3ED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16516" w14:textId="77777777" w:rsidR="007F4054" w:rsidRPr="00F91BA1" w:rsidRDefault="00B85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2,0254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6CFDC9A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</w:tr>
      <w:tr w:rsidR="007F4054" w:rsidRPr="00F91BA1" w14:paraId="0302B6D1" w14:textId="77777777" w:rsidTr="00B302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DB854B1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hideMark/>
          </w:tcPr>
          <w:p w14:paraId="0395F561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Копання ям вручну глибиною до 1,5 м під будівельні</w:t>
            </w:r>
          </w:p>
          <w:p w14:paraId="2AF32D02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конструкції, група ґрунту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1263FE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2DEF1" w14:textId="77777777" w:rsidR="007F4054" w:rsidRPr="00F91BA1" w:rsidRDefault="00B85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77F8AF5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</w:tr>
      <w:tr w:rsidR="007F4054" w:rsidRPr="00F91BA1" w14:paraId="226DF5C7" w14:textId="77777777" w:rsidTr="00B302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C334A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85CAD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en-US"/>
              </w:rPr>
              <w:t>МОНТАЖ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82B92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C47E6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9EFD73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</w:tr>
      <w:tr w:rsidR="007F4054" w:rsidRPr="00F91BA1" w14:paraId="5F4303A7" w14:textId="77777777" w:rsidTr="00B302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F7A9454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hideMark/>
          </w:tcPr>
          <w:p w14:paraId="4C994DD4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Улаштування стрічкових фундаментів бетонних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4BACD6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325A04" w14:textId="77777777" w:rsidR="007F4054" w:rsidRPr="00F91BA1" w:rsidRDefault="00B85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0B44836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</w:tr>
      <w:tr w:rsidR="007F4054" w:rsidRPr="00F91BA1" w14:paraId="03FACE62" w14:textId="77777777" w:rsidTr="00B302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8EFF4D0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hideMark/>
          </w:tcPr>
          <w:p w14:paraId="188F8C8F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Виготовлення сходів прямолінійних і криволінійних з</w:t>
            </w:r>
          </w:p>
          <w:p w14:paraId="560FF7E1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A559D7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74648D" w14:textId="77777777" w:rsidR="007F4054" w:rsidRPr="00F91BA1" w:rsidRDefault="00B85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2,0254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B4227BA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</w:tr>
      <w:tr w:rsidR="007F4054" w:rsidRPr="00F91BA1" w14:paraId="29F1B610" w14:textId="77777777" w:rsidTr="00B302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CC47D7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hideMark/>
          </w:tcPr>
          <w:p w14:paraId="02ECCC77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Монтаж металоконструкцій сходів, площадок,</w:t>
            </w:r>
          </w:p>
          <w:p w14:paraId="516C9E09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огороджень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F7B0F0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BC6B9" w14:textId="77777777" w:rsidR="007F4054" w:rsidRPr="00F91BA1" w:rsidRDefault="00B85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2,0254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9137162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</w:tr>
      <w:tr w:rsidR="007F4054" w:rsidRPr="00F91BA1" w14:paraId="65857139" w14:textId="77777777" w:rsidTr="00B302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hideMark/>
          </w:tcPr>
          <w:p w14:paraId="38E24826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hideMark/>
          </w:tcPr>
          <w:p w14:paraId="5BF6A674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Ґрунтування металевих поверхонь за один раз</w:t>
            </w:r>
          </w:p>
          <w:p w14:paraId="205CA960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hideMark/>
          </w:tcPr>
          <w:p w14:paraId="1DDA9DAC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6DF8222" w14:textId="77777777" w:rsidR="007F4054" w:rsidRPr="00F91BA1" w:rsidRDefault="00B85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hideMark/>
          </w:tcPr>
          <w:p w14:paraId="27904A77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</w:tr>
      <w:tr w:rsidR="007F4054" w:rsidRPr="00F91BA1" w14:paraId="33A38D91" w14:textId="77777777" w:rsidTr="00B302A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882D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14:paraId="2B55F27A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Фарбування металевих поґрунтованих поверхонь</w:t>
            </w:r>
          </w:p>
          <w:p w14:paraId="1B43FAC7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F87093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676E" w14:textId="77777777" w:rsidR="007F4054" w:rsidRPr="00F91BA1" w:rsidRDefault="00B856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pacing w:val="-3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A3D15B" w14:textId="77777777" w:rsidR="007F4054" w:rsidRPr="00F91BA1" w:rsidRDefault="007F40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BA1">
              <w:rPr>
                <w:sz w:val="24"/>
                <w:szCs w:val="24"/>
              </w:rPr>
              <w:t xml:space="preserve"> </w:t>
            </w:r>
          </w:p>
        </w:tc>
      </w:tr>
    </w:tbl>
    <w:p w14:paraId="247AB0BF" w14:textId="77777777" w:rsidR="00B302AD" w:rsidRPr="00F91BA1" w:rsidRDefault="00B302AD" w:rsidP="00B302AD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BA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Учаснику </w:t>
      </w:r>
      <w:r w:rsidRPr="00F91BA1">
        <w:rPr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F91B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91BA1">
        <w:rPr>
          <w:rFonts w:ascii="Times New Roman" w:hAnsi="Times New Roman" w:cs="Times New Roman"/>
          <w:sz w:val="24"/>
          <w:szCs w:val="24"/>
          <w:lang w:val="uk-UA"/>
        </w:rPr>
        <w:t>здійснити попереднє обстеження об’єкта</w:t>
      </w:r>
      <w:r w:rsidRPr="00F91B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Замовника, </w:t>
      </w:r>
      <w:r w:rsidRPr="00F91BA1">
        <w:rPr>
          <w:rFonts w:ascii="Times New Roman" w:hAnsi="Times New Roman" w:cs="Times New Roman"/>
          <w:sz w:val="24"/>
          <w:szCs w:val="24"/>
          <w:lang w:val="uk-UA"/>
        </w:rPr>
        <w:t>для визначення детального обсягу робіт при складанні кошторисної документації відповідно до технічного завдання.</w:t>
      </w:r>
    </w:p>
    <w:p w14:paraId="11DB444A" w14:textId="77777777" w:rsidR="00B302AD" w:rsidRPr="00F91BA1" w:rsidRDefault="00B302AD" w:rsidP="00B302AD">
      <w:pPr>
        <w:pStyle w:val="ListParagraph"/>
        <w:numPr>
          <w:ilvl w:val="0"/>
          <w:numId w:val="1"/>
        </w:numPr>
        <w:spacing w:after="160" w:line="254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BA1">
        <w:rPr>
          <w:rFonts w:ascii="Times New Roman" w:hAnsi="Times New Roman" w:cs="Times New Roman"/>
          <w:sz w:val="24"/>
          <w:szCs w:val="24"/>
          <w:lang w:val="uk-UA"/>
        </w:rPr>
        <w:t xml:space="preserve">При наданні пропозиції </w:t>
      </w:r>
      <w:r w:rsidRPr="00F91B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Учасник </w:t>
      </w:r>
      <w:r w:rsidRPr="00F91BA1">
        <w:rPr>
          <w:rFonts w:ascii="Times New Roman" w:hAnsi="Times New Roman" w:cs="Times New Roman"/>
          <w:sz w:val="24"/>
          <w:szCs w:val="24"/>
          <w:lang w:val="uk-UA"/>
        </w:rPr>
        <w:t xml:space="preserve">надає </w:t>
      </w:r>
      <w:r w:rsidRPr="00F91BA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Замовнику</w:t>
      </w:r>
      <w:r w:rsidRPr="00F91BA1">
        <w:rPr>
          <w:rFonts w:ascii="Times New Roman" w:hAnsi="Times New Roman" w:cs="Times New Roman"/>
          <w:sz w:val="24"/>
          <w:szCs w:val="24"/>
          <w:lang w:val="uk-UA"/>
        </w:rPr>
        <w:t xml:space="preserve"> на перевірку інформаційну модель договірної ціни </w:t>
      </w:r>
      <w:r w:rsidRPr="00F91BA1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Pr="00F91BA1">
        <w:rPr>
          <w:rFonts w:ascii="Times New Roman" w:hAnsi="Times New Roman" w:cs="Times New Roman"/>
          <w:b/>
          <w:bCs/>
          <w:sz w:val="24"/>
          <w:szCs w:val="24"/>
          <w:lang w:val="en-US"/>
        </w:rPr>
        <w:t>IMD</w:t>
      </w:r>
      <w:r w:rsidRPr="00F91BA1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F91BA1">
        <w:rPr>
          <w:rFonts w:ascii="Times New Roman" w:hAnsi="Times New Roman" w:cs="Times New Roman"/>
          <w:sz w:val="24"/>
          <w:szCs w:val="24"/>
          <w:lang w:val="uk-UA"/>
        </w:rPr>
        <w:t xml:space="preserve"> в програмному комплексі </w:t>
      </w:r>
      <w:r w:rsidRPr="00F91BA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АВК-5</w:t>
      </w:r>
      <w:r w:rsidRPr="00F91BA1">
        <w:rPr>
          <w:rFonts w:ascii="Times New Roman" w:hAnsi="Times New Roman" w:cs="Times New Roman"/>
          <w:sz w:val="24"/>
          <w:szCs w:val="24"/>
          <w:lang w:val="uk-UA"/>
        </w:rPr>
        <w:t xml:space="preserve">, складену згідно обґрунтованих розрахунків </w:t>
      </w:r>
      <w:r w:rsidRPr="00F91B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Учасника </w:t>
      </w:r>
      <w:r w:rsidRPr="00F91BA1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Державних будівельних стандартів і правил, яка стане підставою визначення ціни договору, але в розмірі, що не перевищує усереднені показники рекомендовані </w:t>
      </w:r>
      <w:proofErr w:type="spellStart"/>
      <w:r w:rsidRPr="00F91BA1">
        <w:rPr>
          <w:rFonts w:ascii="Times New Roman" w:hAnsi="Times New Roman" w:cs="Times New Roman"/>
          <w:sz w:val="24"/>
          <w:szCs w:val="24"/>
          <w:lang w:val="uk-UA"/>
        </w:rPr>
        <w:t>Мінрегіонбудом</w:t>
      </w:r>
      <w:proofErr w:type="spellEnd"/>
      <w:r w:rsidRPr="00F91BA1">
        <w:rPr>
          <w:rFonts w:ascii="Times New Roman" w:hAnsi="Times New Roman" w:cs="Times New Roman"/>
          <w:sz w:val="24"/>
          <w:szCs w:val="24"/>
          <w:lang w:val="uk-UA"/>
        </w:rPr>
        <w:t xml:space="preserve"> та нормативно-правовими актами органів місцевого самоврядування </w:t>
      </w:r>
      <w:r w:rsidRPr="00F91BA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(в поточних цінах на дату укладання договору з урахуванням усереднених цін на будівельні матеріали, з урахуванням рівня заробітної плати у розмірі </w:t>
      </w:r>
      <w:r w:rsidRPr="00F91BA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8764,0 грн.</w:t>
      </w:r>
      <w:r w:rsidRPr="00F91BA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що відповідає середньому тарифному розряду робіт у будівництві – </w:t>
      </w:r>
      <w:r w:rsidRPr="00F91BA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3,8.).</w:t>
      </w:r>
    </w:p>
    <w:p w14:paraId="23D78780" w14:textId="77777777" w:rsidR="00B302AD" w:rsidRPr="00F91BA1" w:rsidRDefault="00B302AD" w:rsidP="00B302AD">
      <w:pPr>
        <w:pStyle w:val="ListParagraph"/>
        <w:numPr>
          <w:ilvl w:val="0"/>
          <w:numId w:val="1"/>
        </w:numPr>
        <w:spacing w:after="160" w:line="254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BA1">
        <w:rPr>
          <w:rFonts w:ascii="Times New Roman" w:hAnsi="Times New Roman" w:cs="Times New Roman"/>
          <w:sz w:val="24"/>
          <w:szCs w:val="24"/>
          <w:lang w:val="uk-UA"/>
        </w:rPr>
        <w:t>Підрядна організація, яка претендує на переможця у тендерній закупівлі на поточний ремонт і отримання замовлення, повинна здійснювати аналіз цін на ринку будівельних матеріалів у вказаному регіоні.</w:t>
      </w:r>
    </w:p>
    <w:p w14:paraId="1E761151" w14:textId="77777777" w:rsidR="00B302AD" w:rsidRPr="00F91BA1" w:rsidRDefault="00B302AD" w:rsidP="00B302AD">
      <w:pPr>
        <w:pStyle w:val="ListParagraph"/>
        <w:numPr>
          <w:ilvl w:val="0"/>
          <w:numId w:val="1"/>
        </w:numPr>
        <w:spacing w:after="160" w:line="254" w:lineRule="auto"/>
        <w:ind w:hanging="283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91B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Замовник </w:t>
      </w:r>
      <w:r w:rsidRPr="00F91BA1">
        <w:rPr>
          <w:rFonts w:ascii="Times New Roman" w:hAnsi="Times New Roman" w:cs="Times New Roman"/>
          <w:sz w:val="24"/>
          <w:szCs w:val="24"/>
          <w:lang w:val="uk-UA"/>
        </w:rPr>
        <w:t xml:space="preserve">візуально обстежує та фіксує приховані роботи </w:t>
      </w:r>
      <w:r w:rsidRPr="00F91BA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(з фотофіксацією) </w:t>
      </w:r>
      <w:r w:rsidRPr="00F91BA1">
        <w:rPr>
          <w:rFonts w:ascii="Times New Roman" w:hAnsi="Times New Roman" w:cs="Times New Roman"/>
          <w:sz w:val="24"/>
          <w:szCs w:val="24"/>
          <w:lang w:val="uk-UA"/>
        </w:rPr>
        <w:t>для підтвердження в подальшому виконання прихованих ремонтних робіт</w:t>
      </w:r>
      <w:r w:rsidRPr="00F91BA1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328325C5" w14:textId="06B8C9DB" w:rsidR="00B302AD" w:rsidRPr="00F91BA1" w:rsidRDefault="00B302AD" w:rsidP="00B302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-180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91BA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Учасник зобов’язується розпочати виконання робіт протягом 10 робочих днів з моменту підписання договору із Замовником </w:t>
      </w:r>
      <w:r w:rsidRPr="00F91B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 закінчити роботи </w:t>
      </w:r>
      <w:r w:rsidR="007B40D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7B40DD" w:rsidRPr="007B40DD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>31.08.2023 року</w:t>
      </w:r>
      <w:r w:rsidRPr="00F91BA1">
        <w:rPr>
          <w:rFonts w:ascii="Times New Roman" w:hAnsi="Times New Roman" w:cs="Times New Roman"/>
          <w:sz w:val="24"/>
          <w:szCs w:val="24"/>
          <w:lang w:val="uk-UA" w:eastAsia="ru-RU"/>
        </w:rPr>
        <w:t>, з правом дострокового виконання.</w:t>
      </w:r>
    </w:p>
    <w:p w14:paraId="6C4CCC22" w14:textId="77777777" w:rsidR="00B302AD" w:rsidRPr="00F91BA1" w:rsidRDefault="00B302AD" w:rsidP="00B302A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-360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91BA1">
        <w:rPr>
          <w:rFonts w:ascii="Times New Roman" w:hAnsi="Times New Roman" w:cs="Times New Roman"/>
          <w:sz w:val="24"/>
          <w:szCs w:val="24"/>
          <w:lang w:val="uk-UA" w:eastAsia="ru-RU"/>
        </w:rPr>
        <w:t>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довкілля.</w:t>
      </w:r>
    </w:p>
    <w:p w14:paraId="59401ED3" w14:textId="77777777" w:rsidR="00B302AD" w:rsidRPr="00F91BA1" w:rsidRDefault="00B302AD" w:rsidP="00B302AD">
      <w:pPr>
        <w:rPr>
          <w:sz w:val="24"/>
          <w:szCs w:val="24"/>
          <w:lang w:val="uk-UA"/>
        </w:rPr>
      </w:pPr>
    </w:p>
    <w:p w14:paraId="0BEB62D7" w14:textId="77777777" w:rsidR="007F4054" w:rsidRPr="00F91BA1" w:rsidRDefault="007F4054">
      <w:pPr>
        <w:rPr>
          <w:sz w:val="24"/>
          <w:szCs w:val="24"/>
          <w:lang w:val="uk-UA"/>
        </w:rPr>
      </w:pPr>
    </w:p>
    <w:sectPr w:rsidR="007F4054" w:rsidRPr="00F9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922"/>
    <w:multiLevelType w:val="hybridMultilevel"/>
    <w:tmpl w:val="C722ED96"/>
    <w:lvl w:ilvl="0" w:tplc="3F5E49B6">
      <w:start w:val="1"/>
      <w:numFmt w:val="decimal"/>
      <w:lvlText w:val="%1."/>
      <w:lvlJc w:val="left"/>
      <w:pPr>
        <w:ind w:left="-284" w:hanging="360"/>
      </w:pPr>
      <w:rPr>
        <w:b/>
        <w:bCs/>
        <w:i w:val="0"/>
        <w:lang w:val="uk-UA"/>
      </w:rPr>
    </w:lvl>
    <w:lvl w:ilvl="1" w:tplc="04220019">
      <w:start w:val="1"/>
      <w:numFmt w:val="lowerLetter"/>
      <w:lvlText w:val="%2."/>
      <w:lvlJc w:val="left"/>
      <w:pPr>
        <w:ind w:left="436" w:hanging="360"/>
      </w:pPr>
    </w:lvl>
    <w:lvl w:ilvl="2" w:tplc="0422001B">
      <w:start w:val="1"/>
      <w:numFmt w:val="lowerRoman"/>
      <w:lvlText w:val="%3."/>
      <w:lvlJc w:val="right"/>
      <w:pPr>
        <w:ind w:left="1156" w:hanging="180"/>
      </w:pPr>
    </w:lvl>
    <w:lvl w:ilvl="3" w:tplc="0422000F">
      <w:start w:val="1"/>
      <w:numFmt w:val="decimal"/>
      <w:lvlText w:val="%4."/>
      <w:lvlJc w:val="left"/>
      <w:pPr>
        <w:ind w:left="1876" w:hanging="360"/>
      </w:pPr>
    </w:lvl>
    <w:lvl w:ilvl="4" w:tplc="04220019">
      <w:start w:val="1"/>
      <w:numFmt w:val="lowerLetter"/>
      <w:lvlText w:val="%5."/>
      <w:lvlJc w:val="left"/>
      <w:pPr>
        <w:ind w:left="2596" w:hanging="360"/>
      </w:pPr>
    </w:lvl>
    <w:lvl w:ilvl="5" w:tplc="0422001B">
      <w:start w:val="1"/>
      <w:numFmt w:val="lowerRoman"/>
      <w:lvlText w:val="%6."/>
      <w:lvlJc w:val="right"/>
      <w:pPr>
        <w:ind w:left="3316" w:hanging="180"/>
      </w:pPr>
    </w:lvl>
    <w:lvl w:ilvl="6" w:tplc="0422000F">
      <w:start w:val="1"/>
      <w:numFmt w:val="decimal"/>
      <w:lvlText w:val="%7."/>
      <w:lvlJc w:val="left"/>
      <w:pPr>
        <w:ind w:left="4036" w:hanging="360"/>
      </w:pPr>
    </w:lvl>
    <w:lvl w:ilvl="7" w:tplc="04220019">
      <w:start w:val="1"/>
      <w:numFmt w:val="lowerLetter"/>
      <w:lvlText w:val="%8."/>
      <w:lvlJc w:val="left"/>
      <w:pPr>
        <w:ind w:left="4756" w:hanging="360"/>
      </w:pPr>
    </w:lvl>
    <w:lvl w:ilvl="8" w:tplc="0422001B">
      <w:start w:val="1"/>
      <w:numFmt w:val="lowerRoman"/>
      <w:lvlText w:val="%9."/>
      <w:lvlJc w:val="right"/>
      <w:pPr>
        <w:ind w:left="5476" w:hanging="180"/>
      </w:pPr>
    </w:lvl>
  </w:abstractNum>
  <w:abstractNum w:abstractNumId="1" w15:restartNumberingAfterBreak="0">
    <w:nsid w:val="446D43E3"/>
    <w:multiLevelType w:val="hybridMultilevel"/>
    <w:tmpl w:val="17846C74"/>
    <w:lvl w:ilvl="0" w:tplc="3A8C9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72855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4142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78"/>
    <w:rsid w:val="0006498D"/>
    <w:rsid w:val="000C72E0"/>
    <w:rsid w:val="001C32DD"/>
    <w:rsid w:val="007B40DD"/>
    <w:rsid w:val="007F4054"/>
    <w:rsid w:val="009C6FB5"/>
    <w:rsid w:val="00B302AD"/>
    <w:rsid w:val="00B757B8"/>
    <w:rsid w:val="00B85694"/>
    <w:rsid w:val="00DD7178"/>
    <w:rsid w:val="00F91BA1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C176"/>
  <w15:docId w15:val="{A124314C-CA06-4EC0-BB3B-0C085504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54"/>
    <w:pPr>
      <w:spacing w:line="25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2AD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2887</Characters>
  <Application>Microsoft Office Word</Application>
  <DocSecurity>0</DocSecurity>
  <Lines>180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Антюшко</cp:lastModifiedBy>
  <cp:revision>4</cp:revision>
  <dcterms:created xsi:type="dcterms:W3CDTF">2023-05-01T13:11:00Z</dcterms:created>
  <dcterms:modified xsi:type="dcterms:W3CDTF">2023-05-09T08:38:00Z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6f6ec1412a645d2c10dff88f80d5bea1b4444ab96ed5308a20230a53ca1773fa</vt:lpwstr>
  </property>
</Properties>
</file>