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C" w:rsidRPr="0045710B" w:rsidRDefault="000C7323" w:rsidP="00053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10B">
        <w:rPr>
          <w:rFonts w:ascii="Times New Roman" w:hAnsi="Times New Roman" w:cs="Times New Roman"/>
          <w:sz w:val="28"/>
          <w:szCs w:val="28"/>
          <w:u w:val="single"/>
        </w:rPr>
        <w:t xml:space="preserve">Перелік змін від </w:t>
      </w:r>
      <w:r w:rsidR="0039524B" w:rsidRPr="004571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8778F" w:rsidRPr="0045710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9524B" w:rsidRPr="0045710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55F7D" w:rsidRPr="0045710B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45710B">
        <w:rPr>
          <w:rFonts w:ascii="Times New Roman" w:hAnsi="Times New Roman" w:cs="Times New Roman"/>
          <w:sz w:val="28"/>
          <w:szCs w:val="28"/>
          <w:u w:val="single"/>
        </w:rPr>
        <w:t xml:space="preserve"> до тендерної документації на закупівлю</w:t>
      </w:r>
      <w:r w:rsidR="003F2F2C" w:rsidRPr="00457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C87" w:rsidRPr="0045710B" w:rsidRDefault="000E3692" w:rsidP="00F47D10">
      <w:pPr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u w:val="single"/>
          <w:lang w:eastAsia="uk-UA"/>
        </w:rPr>
      </w:pPr>
      <w:r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>Стропи, канати</w:t>
      </w:r>
      <w:r w:rsidR="00020CF6"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згідно ДК 021:2015</w:t>
      </w:r>
      <w:r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код</w:t>
      </w:r>
      <w:r w:rsidR="00020CF6"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44</w:t>
      </w:r>
      <w:r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>420000-0</w:t>
      </w:r>
      <w:r w:rsidR="00020CF6"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45710B">
        <w:rPr>
          <w:rFonts w:ascii="Times New Roman" w:eastAsia="Tahoma" w:hAnsi="Times New Roman" w:cs="Times New Roman"/>
          <w:b/>
          <w:bCs/>
          <w:sz w:val="24"/>
          <w:szCs w:val="24"/>
        </w:rPr>
        <w:t>Будівельні товари</w:t>
      </w:r>
    </w:p>
    <w:p w:rsidR="001F1643" w:rsidRPr="0045710B" w:rsidRDefault="000C7323" w:rsidP="001F1643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  <w:r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 xml:space="preserve">ID </w:t>
      </w:r>
      <w:r w:rsidR="00020CF6"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UA-2024-03-</w:t>
      </w:r>
      <w:r w:rsidR="000E3692"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12</w:t>
      </w:r>
      <w:r w:rsidR="001F1643"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-0</w:t>
      </w:r>
      <w:r w:rsidR="000E3692"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01202</w:t>
      </w:r>
      <w:r w:rsidR="001F1643" w:rsidRPr="0045710B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 xml:space="preserve">-a </w:t>
      </w:r>
    </w:p>
    <w:p w:rsidR="00EA1693" w:rsidRPr="0045710B" w:rsidRDefault="00EA1693" w:rsidP="001F1643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10B">
        <w:rPr>
          <w:rFonts w:ascii="Times New Roman" w:hAnsi="Times New Roman" w:cs="Times New Roman"/>
          <w:b/>
          <w:color w:val="000000"/>
          <w:sz w:val="24"/>
          <w:szCs w:val="24"/>
        </w:rPr>
        <w:t>Внести зміни до Тендерної документації, Додатку 2 Вимоги до предмету закупівлі:</w:t>
      </w:r>
    </w:p>
    <w:p w:rsidR="000F7F0E" w:rsidRPr="0045710B" w:rsidRDefault="000F7F0E" w:rsidP="000F7F0E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2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99"/>
        <w:gridCol w:w="3610"/>
        <w:gridCol w:w="2807"/>
        <w:gridCol w:w="1308"/>
        <w:gridCol w:w="1499"/>
      </w:tblGrid>
      <w:tr w:rsidR="00D607B7" w:rsidRPr="0045710B" w:rsidTr="0045710B">
        <w:trPr>
          <w:trHeight w:val="97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5710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5710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10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5710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5710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Кількість</w:t>
            </w:r>
          </w:p>
        </w:tc>
      </w:tr>
      <w:tr w:rsidR="00D607B7" w:rsidRPr="0045710B" w:rsidTr="0045710B">
        <w:trPr>
          <w:trHeight w:val="57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1,6/1500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07B7" w:rsidRPr="0045710B" w:rsidRDefault="00D607B7" w:rsidP="0045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 петльовий,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 -1,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1,6т,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1500 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7B7" w:rsidRPr="0045710B" w:rsidTr="0045710B">
        <w:trPr>
          <w:trHeight w:val="263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3,2/4000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>-10-98 строп канатний петльовий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1,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вантажопідйомність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3,2т,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4000 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5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2 СК 3,2/2500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канатний,кількість строп 2,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 гак з замком,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вантажопідйомність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3,2т,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2500мм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236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3,2/6000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45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 петльовий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 -1,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3,2т,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довжина стропа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6000мм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1,6/1200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 петльовий ,кількість строп 1,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вантажопідйомність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1200мм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3,2/1200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 петльовий ,кількість строп -1,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3,2т,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1200мм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4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СК 3,2/2000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канатний,кількість строп 4,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 гак з замком,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3,2т,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2000мм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1,25/2000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 петльовий ,кількі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сть строп -1, втулка,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ність1,6т,довжина стропа 2000мм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2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СК1,6/2000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 2,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 гак з замком,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1,6т,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2000мм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1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СК0,8/1000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 гак з замком,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 xml:space="preserve">мність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1000мм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СК 0,8/900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 гак з замком,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0,8т,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900мм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3,2/3000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ть строп 4, втулка, гак з замком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3,2т,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довжина стропа 3000мм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1СК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0,8/1030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В.2.8-10-98 строп канатний,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1,втулка, гак з замком,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0,8т,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довжина стропа 1030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Строп СКП 0,2/14000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Б В.2.8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-10-98 строп канатний петльовий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кількість строп -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втулка,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вантажопідйо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мність 0,2т,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довжина стропа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14000 мм (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Канат ф6,8мм оц.,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3062-80, 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Канат 4,8мм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2688-80,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5,6мм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2688-80,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6,2мм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2688-80,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r w:rsidR="004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11,0, 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2688-80,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Дріт пружинний 3,5мм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ГОСТ 14963-78 для навивання пружин,</w:t>
            </w:r>
            <w:r w:rsidR="0045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7B7" w:rsidRPr="0045710B" w:rsidTr="0045710B">
        <w:trPr>
          <w:trHeight w:val="47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Дріт в’язальний 4,6мм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ДСТУ 3282-74 (термічно оброблений), або еквівалент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7B7" w:rsidRPr="0045710B" w:rsidRDefault="00D607B7" w:rsidP="00780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07B7" w:rsidRPr="0045710B" w:rsidRDefault="00D607B7" w:rsidP="0078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0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D3179F" w:rsidRPr="00D3179F" w:rsidRDefault="00D3179F" w:rsidP="001F1643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3179F" w:rsidRDefault="00D3179F" w:rsidP="00D3179F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Внести зміни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Тендерної документації, Розділ 3</w:t>
      </w:r>
      <w:r w:rsidRPr="00D31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Інструкція з підготовки тендерної пропозиції, п. 3</w:t>
      </w:r>
      <w:r w:rsidRPr="00D31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Умови повернення чи неповернення забезпечення тендерної пропозиції</w:t>
      </w:r>
      <w:r w:rsidRPr="00D317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3179F" w:rsidRDefault="00D3179F" w:rsidP="00D3179F">
      <w:pPr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Забезпечення тендерної пропозиції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повертається </w:t>
      </w:r>
      <w:r>
        <w:rPr>
          <w:rFonts w:ascii="Times New Roman" w:eastAsia="Times New Roman" w:hAnsi="Times New Roman"/>
          <w:sz w:val="24"/>
          <w:szCs w:val="24"/>
        </w:rPr>
        <w:t>учаснику у разі:</w:t>
      </w:r>
    </w:p>
    <w:p w:rsidR="00D3179F" w:rsidRDefault="00D3179F" w:rsidP="00D3179F">
      <w:pPr>
        <w:numPr>
          <w:ilvl w:val="0"/>
          <w:numId w:val="20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закінчення строку дії тендерної пропозиції та забезпечення тендерної пропозиції, зазначеного в тендерній документації;</w:t>
      </w:r>
    </w:p>
    <w:p w:rsidR="00D3179F" w:rsidRDefault="00D3179F" w:rsidP="00D3179F">
      <w:pPr>
        <w:numPr>
          <w:ilvl w:val="0"/>
          <w:numId w:val="20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укладення договору про закупівлю з учасником, який став переможцем процедури закупівлі;</w:t>
      </w:r>
    </w:p>
    <w:p w:rsidR="00D3179F" w:rsidRDefault="00D3179F" w:rsidP="00D3179F">
      <w:pPr>
        <w:numPr>
          <w:ilvl w:val="0"/>
          <w:numId w:val="20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відкликання тендерної пропозиції до закінчення строку її подання;</w:t>
      </w:r>
    </w:p>
    <w:p w:rsidR="00D3179F" w:rsidRDefault="00D3179F" w:rsidP="00D3179F">
      <w:pPr>
        <w:numPr>
          <w:ilvl w:val="0"/>
          <w:numId w:val="20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закінчення тендеру в разі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неукладення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про закупівлю з жодним з учасників, які подали тендерні пропозиції.</w:t>
      </w:r>
    </w:p>
    <w:p w:rsidR="00D3179F" w:rsidRDefault="00D3179F" w:rsidP="00D3179F">
      <w:pPr>
        <w:shd w:val="clear" w:color="auto" w:fill="FFFFFF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Забезпечення тендерної пропозиції </w:t>
      </w:r>
      <w:r>
        <w:rPr>
          <w:rFonts w:ascii="Times New Roman" w:eastAsia="Times New Roman" w:hAnsi="Times New Roman"/>
          <w:b/>
          <w:i/>
          <w:sz w:val="24"/>
          <w:szCs w:val="24"/>
        </w:rPr>
        <w:t>не повертається</w:t>
      </w:r>
      <w:r>
        <w:rPr>
          <w:rFonts w:ascii="Times New Roman" w:eastAsia="Times New Roman" w:hAnsi="Times New Roman"/>
          <w:sz w:val="24"/>
          <w:szCs w:val="24"/>
        </w:rPr>
        <w:t xml:space="preserve"> у разі:</w:t>
      </w:r>
    </w:p>
    <w:p w:rsidR="00D3179F" w:rsidRDefault="00D3179F" w:rsidP="00D3179F">
      <w:pPr>
        <w:numPr>
          <w:ilvl w:val="0"/>
          <w:numId w:val="19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відкликання тендерної пропозиції учасником після закінчення строку її подання, але до того, як сплив строк, протягом якого тендерні пропозиції вважаються дійсними;</w:t>
      </w:r>
    </w:p>
    <w:p w:rsidR="00D3179F" w:rsidRDefault="00D3179F" w:rsidP="00D3179F">
      <w:pPr>
        <w:numPr>
          <w:ilvl w:val="0"/>
          <w:numId w:val="19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непідписання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про закупівлю учасником, який став переможцем тендеру;</w:t>
      </w:r>
    </w:p>
    <w:p w:rsidR="00D3179F" w:rsidRDefault="00D3179F" w:rsidP="00D3179F">
      <w:pPr>
        <w:numPr>
          <w:ilvl w:val="0"/>
          <w:numId w:val="19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ненадання переможцем процедури закупівлі у строк, визначений абзацом 15 пункту 47 Особливостей, документів, що підтверджують відсутність підстав, установлених пунктом 47 Особливостей;</w:t>
      </w:r>
    </w:p>
    <w:p w:rsidR="00D3179F" w:rsidRDefault="00D3179F" w:rsidP="00D3179F">
      <w:pPr>
        <w:numPr>
          <w:ilvl w:val="0"/>
          <w:numId w:val="19"/>
        </w:numPr>
        <w:shd w:val="clear" w:color="auto" w:fill="FFFFFF"/>
        <w:spacing w:after="160" w:line="259" w:lineRule="auto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документацією.</w:t>
      </w:r>
    </w:p>
    <w:p w:rsidR="00D3179F" w:rsidRPr="00D3179F" w:rsidRDefault="00D3179F" w:rsidP="00D3179F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зверненням учасника, яким було надано забезпечення тендерної пропозиції, </w:t>
      </w:r>
      <w:r>
        <w:rPr>
          <w:rFonts w:ascii="Times New Roman" w:eastAsia="Times New Roman" w:hAnsi="Times New Roman"/>
          <w:b/>
          <w:i/>
          <w:sz w:val="24"/>
          <w:szCs w:val="24"/>
        </w:rPr>
        <w:t>замовник повідомляє установу</w:t>
      </w:r>
      <w:r>
        <w:rPr>
          <w:rFonts w:ascii="Times New Roman" w:eastAsia="Times New Roman" w:hAnsi="Times New Roman"/>
          <w:sz w:val="24"/>
          <w:szCs w:val="24"/>
        </w:rPr>
        <w:t xml:space="preserve">, що видала такому учаснику гарантію, про настання підстави для повернення забезпечення тендерної пропозиції </w:t>
      </w:r>
      <w:r>
        <w:rPr>
          <w:rFonts w:ascii="Times New Roman" w:eastAsia="Times New Roman" w:hAnsi="Times New Roman"/>
          <w:b/>
          <w:i/>
          <w:sz w:val="24"/>
          <w:szCs w:val="24"/>
        </w:rPr>
        <w:t>протягом п’яти днів</w:t>
      </w:r>
      <w:r>
        <w:rPr>
          <w:rFonts w:ascii="Times New Roman" w:eastAsia="Times New Roman" w:hAnsi="Times New Roman"/>
          <w:sz w:val="24"/>
          <w:szCs w:val="24"/>
        </w:rPr>
        <w:t xml:space="preserve"> з дня настання однієї з підстав повернення забезпечення тендерної пропозиції.</w:t>
      </w:r>
      <w:bookmarkStart w:id="0" w:name="_GoBack"/>
      <w:bookmarkEnd w:id="0"/>
    </w:p>
    <w:p w:rsidR="001F1643" w:rsidRPr="00D3179F" w:rsidRDefault="001F1643" w:rsidP="00D3179F">
      <w:pPr>
        <w:ind w:firstLine="708"/>
        <w:rPr>
          <w:i/>
        </w:rPr>
      </w:pPr>
    </w:p>
    <w:sectPr w:rsidR="001F1643" w:rsidRPr="00D31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62"/>
    <w:multiLevelType w:val="hybridMultilevel"/>
    <w:tmpl w:val="101A26EA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722DA0"/>
    <w:multiLevelType w:val="multilevel"/>
    <w:tmpl w:val="F7E491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BC23633"/>
    <w:multiLevelType w:val="multilevel"/>
    <w:tmpl w:val="10A04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1D9874C4"/>
    <w:multiLevelType w:val="hybridMultilevel"/>
    <w:tmpl w:val="BFF80838"/>
    <w:lvl w:ilvl="0" w:tplc="5BBE1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583"/>
    <w:multiLevelType w:val="hybridMultilevel"/>
    <w:tmpl w:val="455C338E"/>
    <w:lvl w:ilvl="0" w:tplc="E72E91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522D3"/>
    <w:multiLevelType w:val="hybridMultilevel"/>
    <w:tmpl w:val="DAA6992C"/>
    <w:lvl w:ilvl="0" w:tplc="D15E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B15"/>
    <w:multiLevelType w:val="multilevel"/>
    <w:tmpl w:val="C9321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63516B4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0E620D"/>
    <w:multiLevelType w:val="hybridMultilevel"/>
    <w:tmpl w:val="DAA6992C"/>
    <w:lvl w:ilvl="0" w:tplc="D15EA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05EF0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6CD877F7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4019B"/>
    <w:multiLevelType w:val="multilevel"/>
    <w:tmpl w:val="6BB0C950"/>
    <w:lvl w:ilvl="0">
      <w:start w:val="14"/>
      <w:numFmt w:val="decimal"/>
      <w:lvlText w:val="%1."/>
      <w:lvlJc w:val="left"/>
      <w:pPr>
        <w:ind w:left="600" w:hanging="600"/>
      </w:pPr>
      <w:rPr>
        <w:rFonts w:eastAsia="Tahoma" w:hint="default"/>
        <w:color w:val="000000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0CF6"/>
    <w:rsid w:val="00026D66"/>
    <w:rsid w:val="00050169"/>
    <w:rsid w:val="00053B29"/>
    <w:rsid w:val="000844C4"/>
    <w:rsid w:val="000C7323"/>
    <w:rsid w:val="000D1EBB"/>
    <w:rsid w:val="000E3692"/>
    <w:rsid w:val="000E67B3"/>
    <w:rsid w:val="000F7F0E"/>
    <w:rsid w:val="001143A8"/>
    <w:rsid w:val="00115329"/>
    <w:rsid w:val="001F1643"/>
    <w:rsid w:val="0036442A"/>
    <w:rsid w:val="0039524B"/>
    <w:rsid w:val="003E56F3"/>
    <w:rsid w:val="003F2F2C"/>
    <w:rsid w:val="00424347"/>
    <w:rsid w:val="00433A66"/>
    <w:rsid w:val="00451B62"/>
    <w:rsid w:val="0045710B"/>
    <w:rsid w:val="00480BA4"/>
    <w:rsid w:val="004866E4"/>
    <w:rsid w:val="004F406F"/>
    <w:rsid w:val="005024AC"/>
    <w:rsid w:val="005A4B6C"/>
    <w:rsid w:val="006026E6"/>
    <w:rsid w:val="00655F7D"/>
    <w:rsid w:val="006B79C1"/>
    <w:rsid w:val="008E687F"/>
    <w:rsid w:val="0091480E"/>
    <w:rsid w:val="0098778F"/>
    <w:rsid w:val="00A0199C"/>
    <w:rsid w:val="00A339B0"/>
    <w:rsid w:val="00A66923"/>
    <w:rsid w:val="00A85B67"/>
    <w:rsid w:val="00A95FD2"/>
    <w:rsid w:val="00AB3343"/>
    <w:rsid w:val="00B52A0A"/>
    <w:rsid w:val="00C94B10"/>
    <w:rsid w:val="00D14ACC"/>
    <w:rsid w:val="00D26C87"/>
    <w:rsid w:val="00D3179F"/>
    <w:rsid w:val="00D607B7"/>
    <w:rsid w:val="00D70BEF"/>
    <w:rsid w:val="00EA1693"/>
    <w:rsid w:val="00F47D10"/>
    <w:rsid w:val="00F87B4C"/>
    <w:rsid w:val="00FC24F1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3003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Tender6</cp:lastModifiedBy>
  <cp:revision>38</cp:revision>
  <dcterms:created xsi:type="dcterms:W3CDTF">2023-06-19T07:45:00Z</dcterms:created>
  <dcterms:modified xsi:type="dcterms:W3CDTF">2024-03-14T14:59:00Z</dcterms:modified>
</cp:coreProperties>
</file>