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уклали цей договір про закупівлю товарів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 В порядку та на умовах, визначених цим Договором, Постачальник бере на себе зобов’язання п</w:t>
      </w:r>
      <w:r w:rsidR="00683E07">
        <w:rPr>
          <w:bCs/>
        </w:rPr>
        <w:t>ередати у власність Замовника -</w:t>
      </w:r>
      <w:r w:rsidR="006367EF" w:rsidRPr="006367EF">
        <w:rPr>
          <w:sz w:val="24"/>
          <w:szCs w:val="24"/>
        </w:rPr>
        <w:t xml:space="preserve"> </w:t>
      </w:r>
      <w:r w:rsidR="00F442F5" w:rsidRPr="003E26D7">
        <w:rPr>
          <w:b/>
          <w:bCs/>
          <w:i/>
          <w:iCs/>
          <w:kern w:val="3"/>
          <w:sz w:val="24"/>
          <w:szCs w:val="24"/>
          <w:lang w:val="uk-UA" w:eastAsia="zh-CN" w:bidi="hi-IN"/>
        </w:rPr>
        <w:t>Медичне обладнання (</w:t>
      </w:r>
      <w:r w:rsidR="00F442F5" w:rsidRPr="003E26D7">
        <w:rPr>
          <w:i/>
          <w:iCs/>
          <w:kern w:val="3"/>
          <w:sz w:val="24"/>
          <w:szCs w:val="24"/>
          <w:lang w:val="uk-UA" w:eastAsia="zh-CN" w:bidi="hi-IN"/>
        </w:rPr>
        <w:t>плантограф; ш</w:t>
      </w:r>
      <w:r w:rsidR="00F442F5" w:rsidRPr="003E26D7">
        <w:rPr>
          <w:i/>
          <w:iCs/>
          <w:color w:val="auto"/>
          <w:kern w:val="3"/>
          <w:sz w:val="24"/>
          <w:szCs w:val="24"/>
          <w:lang w:val="uk-UA" w:eastAsia="zh-CN" w:bidi="hi-IN"/>
        </w:rPr>
        <w:t>татив для пробірок пластиковий</w:t>
      </w:r>
      <w:r w:rsidR="00F442F5" w:rsidRPr="003E26D7">
        <w:rPr>
          <w:b/>
          <w:bCs/>
          <w:i/>
          <w:iCs/>
          <w:kern w:val="3"/>
          <w:sz w:val="24"/>
          <w:szCs w:val="24"/>
          <w:lang w:val="uk-UA" w:eastAsia="zh-CN" w:bidi="hi-IN"/>
        </w:rPr>
        <w:t>)</w:t>
      </w:r>
      <w:r w:rsidR="00F442F5" w:rsidRPr="00F97683">
        <w:rPr>
          <w:b/>
          <w:sz w:val="24"/>
          <w:szCs w:val="24"/>
          <w:lang w:val="uk-UA"/>
        </w:rPr>
        <w:t>.</w:t>
      </w:r>
      <w:r w:rsidR="00FF32C0" w:rsidRPr="00280B7F">
        <w:t xml:space="preserve"> </w:t>
      </w:r>
      <w:r w:rsidRPr="00FF32C0">
        <w:rPr>
          <w:bCs/>
        </w:rPr>
        <w:t>(далі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F442F5" w:rsidRDefault="00904888" w:rsidP="009B6ACD">
      <w:pPr>
        <w:pStyle w:val="212"/>
        <w:tabs>
          <w:tab w:val="left" w:pos="479"/>
        </w:tabs>
        <w:spacing w:line="240" w:lineRule="auto"/>
        <w:ind w:firstLine="0"/>
        <w:jc w:val="both"/>
        <w:rPr>
          <w:b/>
          <w:sz w:val="24"/>
          <w:szCs w:val="24"/>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B64FE">
        <w:rPr>
          <w:sz w:val="24"/>
          <w:szCs w:val="24"/>
          <w:lang w:eastAsia="en-US"/>
        </w:rPr>
        <w:t xml:space="preserve"> </w:t>
      </w:r>
      <w:r w:rsidR="00F442F5" w:rsidRPr="003E26D7">
        <w:rPr>
          <w:b/>
          <w:bCs/>
          <w:i/>
          <w:iCs/>
          <w:kern w:val="3"/>
          <w:sz w:val="24"/>
          <w:szCs w:val="24"/>
          <w:lang w:val="uk-UA" w:eastAsia="zh-CN" w:bidi="hi-IN"/>
        </w:rPr>
        <w:t>Медичне обладнання (</w:t>
      </w:r>
      <w:r w:rsidR="00F442F5" w:rsidRPr="003E26D7">
        <w:rPr>
          <w:i/>
          <w:iCs/>
          <w:kern w:val="3"/>
          <w:sz w:val="24"/>
          <w:szCs w:val="24"/>
          <w:lang w:val="uk-UA" w:eastAsia="zh-CN" w:bidi="hi-IN"/>
        </w:rPr>
        <w:t>плантограф; ш</w:t>
      </w:r>
      <w:r w:rsidR="00F442F5" w:rsidRPr="003E26D7">
        <w:rPr>
          <w:i/>
          <w:iCs/>
          <w:color w:val="auto"/>
          <w:kern w:val="3"/>
          <w:sz w:val="24"/>
          <w:szCs w:val="24"/>
          <w:lang w:val="uk-UA" w:eastAsia="zh-CN" w:bidi="hi-IN"/>
        </w:rPr>
        <w:t>татив для пробірок пластиковий</w:t>
      </w:r>
      <w:r w:rsidR="00F442F5" w:rsidRPr="003E26D7">
        <w:rPr>
          <w:b/>
          <w:bCs/>
          <w:i/>
          <w:iCs/>
          <w:kern w:val="3"/>
          <w:sz w:val="24"/>
          <w:szCs w:val="24"/>
          <w:lang w:val="uk-UA" w:eastAsia="zh-CN" w:bidi="hi-IN"/>
        </w:rPr>
        <w:t>)</w:t>
      </w:r>
      <w:r w:rsidR="00F442F5" w:rsidRPr="00F97683">
        <w:rPr>
          <w:b/>
          <w:sz w:val="24"/>
          <w:szCs w:val="24"/>
          <w:lang w:val="uk-UA"/>
        </w:rPr>
        <w:t>.</w:t>
      </w:r>
    </w:p>
    <w:p w:rsidR="00F442F5" w:rsidRPr="003E26D7" w:rsidRDefault="00F442F5" w:rsidP="00F442F5">
      <w:pPr>
        <w:jc w:val="both"/>
        <w:rPr>
          <w:rFonts w:eastAsiaTheme="minorHAnsi"/>
          <w:b/>
          <w:i/>
          <w:sz w:val="28"/>
          <w:szCs w:val="28"/>
          <w:lang w:val="uk-UA" w:eastAsia="en-US"/>
        </w:rPr>
      </w:pPr>
      <w:r w:rsidRPr="002E7CC7">
        <w:rPr>
          <w:b/>
          <w:lang w:val="uk-UA" w:eastAsia="ru-RU"/>
        </w:rPr>
        <w:t>Класифікатор медичних виробів  НК 024:2023:</w:t>
      </w:r>
      <w:r w:rsidRPr="00F97683">
        <w:rPr>
          <w:b/>
          <w:lang w:val="uk-UA" w:eastAsia="ru-RU"/>
        </w:rPr>
        <w:t xml:space="preserve"> </w:t>
      </w:r>
      <w:r w:rsidRPr="00B1368E">
        <w:rPr>
          <w:b/>
          <w:lang w:val="uk-UA" w:eastAsia="ru-RU"/>
        </w:rPr>
        <w:t>37212 - Система терапевтична для подіатрії</w:t>
      </w:r>
      <w:r w:rsidRPr="003E26D7">
        <w:rPr>
          <w:rFonts w:eastAsia="Calibri"/>
          <w:b/>
          <w:i/>
          <w:shd w:val="clear" w:color="auto" w:fill="FFFFFF"/>
          <w:lang w:val="uk-UA"/>
        </w:rPr>
        <w:t xml:space="preserve">; 15186 </w:t>
      </w:r>
      <w:r w:rsidRPr="003E26D7">
        <w:rPr>
          <w:b/>
          <w:i/>
        </w:rPr>
        <w:t>Штатив для пробірок</w:t>
      </w:r>
      <w:r w:rsidRPr="003E26D7">
        <w:rPr>
          <w:b/>
          <w:i/>
          <w:lang w:val="uk-UA"/>
        </w:rPr>
        <w:t>.</w:t>
      </w:r>
    </w:p>
    <w:p w:rsidR="00F442F5" w:rsidRDefault="00F442F5" w:rsidP="00F442F5">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Pr>
          <w:b/>
          <w:bCs/>
          <w:lang w:val="uk-UA"/>
        </w:rPr>
        <w:t>–</w:t>
      </w:r>
      <w:r w:rsidRPr="00E77CDC">
        <w:rPr>
          <w:b/>
          <w:bCs/>
          <w:lang w:val="uk-UA"/>
        </w:rPr>
        <w:t xml:space="preserve"> </w:t>
      </w:r>
    </w:p>
    <w:p w:rsidR="009B295D" w:rsidRPr="00E77CDC" w:rsidRDefault="009B295D" w:rsidP="009B295D">
      <w:pPr>
        <w:pStyle w:val="212"/>
        <w:tabs>
          <w:tab w:val="left" w:pos="479"/>
        </w:tabs>
        <w:spacing w:line="240" w:lineRule="auto"/>
        <w:ind w:firstLine="0"/>
        <w:rPr>
          <w:b/>
          <w:bCs/>
          <w:lang w:val="uk-UA"/>
        </w:rPr>
      </w:pP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Default="002329B8" w:rsidP="002329B8">
      <w:pPr>
        <w:pStyle w:val="46"/>
        <w:keepNext/>
        <w:keepLines/>
        <w:tabs>
          <w:tab w:val="left" w:pos="567"/>
        </w:tabs>
        <w:spacing w:after="0" w:line="220" w:lineRule="exact"/>
        <w:jc w:val="center"/>
        <w:rPr>
          <w:lang w:val="uk-UA"/>
        </w:rPr>
      </w:pP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w:t>
      </w:r>
      <w:bookmarkStart w:id="7" w:name="_GoBack"/>
      <w:bookmarkEnd w:id="7"/>
      <w:r w:rsidRPr="006E2661">
        <w:rPr>
          <w:sz w:val="22"/>
          <w:szCs w:val="22"/>
          <w:lang w:val="uk-UA"/>
        </w:rPr>
        <w:t>.</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Pr="00F600E0" w:rsidRDefault="002329B8" w:rsidP="00C200C0">
      <w:pPr>
        <w:jc w:val="both"/>
        <w:rPr>
          <w:sz w:val="22"/>
          <w:szCs w:val="22"/>
          <w:lang w:eastAsia="ru-RU"/>
        </w:rPr>
      </w:pPr>
      <w:r w:rsidRPr="006E2661">
        <w:rPr>
          <w:sz w:val="22"/>
          <w:szCs w:val="22"/>
          <w:lang w:val="uk-UA"/>
        </w:rPr>
        <w:t xml:space="preserve">4.3. </w:t>
      </w:r>
      <w:r w:rsidRPr="0002707C">
        <w:rPr>
          <w:sz w:val="22"/>
          <w:szCs w:val="22"/>
          <w:lang w:eastAsia="ru-RU"/>
        </w:rPr>
        <w:t xml:space="preserve">Замовник оплачує надані та підписані в накладних товари протягом </w:t>
      </w:r>
      <w:r>
        <w:rPr>
          <w:sz w:val="22"/>
          <w:szCs w:val="22"/>
          <w:lang w:eastAsia="ru-RU"/>
        </w:rPr>
        <w:t>5</w:t>
      </w:r>
      <w:r w:rsidRPr="0002707C">
        <w:rPr>
          <w:sz w:val="22"/>
          <w:szCs w:val="22"/>
          <w:lang w:eastAsia="ru-RU"/>
        </w:rPr>
        <w:t xml:space="preserve"> (</w:t>
      </w:r>
      <w:r>
        <w:rPr>
          <w:sz w:val="22"/>
          <w:szCs w:val="22"/>
          <w:lang w:eastAsia="ru-RU"/>
        </w:rPr>
        <w:t xml:space="preserve">п’ять </w:t>
      </w:r>
      <w:r w:rsidRPr="0002707C">
        <w:rPr>
          <w:sz w:val="22"/>
          <w:szCs w:val="22"/>
          <w:lang w:eastAsia="ru-RU"/>
        </w:rPr>
        <w:t xml:space="preserve">) </w:t>
      </w:r>
      <w:r>
        <w:rPr>
          <w:sz w:val="22"/>
          <w:szCs w:val="22"/>
          <w:lang w:eastAsia="ru-RU"/>
        </w:rPr>
        <w:t>банківських</w:t>
      </w:r>
      <w:r w:rsidRPr="0002707C">
        <w:rPr>
          <w:sz w:val="22"/>
          <w:szCs w:val="22"/>
          <w:lang w:eastAsia="ru-RU"/>
        </w:rPr>
        <w:t xml:space="preserve"> </w:t>
      </w:r>
      <w:r>
        <w:rPr>
          <w:sz w:val="22"/>
          <w:szCs w:val="22"/>
          <w:lang w:eastAsia="ru-RU"/>
        </w:rPr>
        <w:t xml:space="preserve">днів </w:t>
      </w:r>
      <w:r w:rsidRPr="0002707C">
        <w:rPr>
          <w:sz w:val="22"/>
          <w:szCs w:val="22"/>
          <w:lang w:eastAsia="ru-RU"/>
        </w:rPr>
        <w:t xml:space="preserve">з </w:t>
      </w:r>
      <w:r w:rsidRPr="00F600E0">
        <w:rPr>
          <w:sz w:val="22"/>
          <w:szCs w:val="22"/>
          <w:lang w:eastAsia="ru-RU"/>
        </w:rPr>
        <w:t xml:space="preserve">моменту </w:t>
      </w:r>
      <w:r w:rsidR="002E39BA">
        <w:rPr>
          <w:sz w:val="22"/>
          <w:szCs w:val="22"/>
          <w:lang w:eastAsia="ru-RU"/>
        </w:rPr>
        <w:t xml:space="preserve">фактичного отримання товару. </w:t>
      </w:r>
    </w:p>
    <w:p w:rsidR="002329B8" w:rsidRDefault="002329B8" w:rsidP="00C200C0">
      <w:pPr>
        <w:pStyle w:val="26"/>
        <w:spacing w:after="0" w:line="240" w:lineRule="auto"/>
        <w:jc w:val="both"/>
        <w:rPr>
          <w:sz w:val="22"/>
          <w:szCs w:val="22"/>
          <w:lang w:val="uk-UA"/>
        </w:rPr>
      </w:pPr>
      <w:r w:rsidRPr="006E2661">
        <w:rPr>
          <w:sz w:val="22"/>
          <w:szCs w:val="22"/>
          <w:lang w:val="uk-UA"/>
        </w:rPr>
        <w:t xml:space="preserve">4.6. </w:t>
      </w:r>
      <w:r w:rsidRPr="008A102B">
        <w:rPr>
          <w:sz w:val="22"/>
          <w:szCs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F442F5" w:rsidRPr="00C200C0">
        <w:rPr>
          <w:b/>
          <w:bCs/>
          <w:color w:val="auto"/>
        </w:rPr>
        <w:t xml:space="preserve">10 </w:t>
      </w:r>
      <w:r w:rsidR="00F442F5">
        <w:rPr>
          <w:b/>
          <w:bCs/>
          <w:color w:val="auto"/>
          <w:lang w:val="uk-UA"/>
        </w:rPr>
        <w:t xml:space="preserve">травня </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e"/>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e"/>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e"/>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2428B2" w:rsidRDefault="00FE21FE" w:rsidP="00FE21FE">
      <w:pPr>
        <w:jc w:val="center"/>
        <w:rPr>
          <w:b/>
          <w:i/>
          <w:sz w:val="21"/>
          <w:szCs w:val="21"/>
        </w:rPr>
      </w:pP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r w:rsidRPr="002428B2">
        <w:rPr>
          <w:b/>
        </w:rPr>
        <w:t>.</w:t>
      </w:r>
      <w:r w:rsidRPr="00B04670">
        <w:rPr>
          <w:b/>
        </w:rPr>
        <w:t xml:space="preserve"> </w:t>
      </w:r>
      <w:r>
        <w:rPr>
          <w:b/>
        </w:rPr>
        <w:t xml:space="preserve"> П</w:t>
      </w:r>
      <w:r>
        <w:rPr>
          <w:b/>
          <w:lang w:val="uk-UA"/>
        </w:rPr>
        <w:t>ОРЯДОК ЗМІНИ УМОВ ДОГОВОРУ ПРО ЗАКУПІВЛЮ</w:t>
      </w:r>
    </w:p>
    <w:p w:rsidR="00FE21FE" w:rsidRPr="002428B2" w:rsidRDefault="00FE21FE" w:rsidP="00FE21FE">
      <w:pPr>
        <w:ind w:left="720"/>
        <w:jc w:val="center"/>
        <w:rPr>
          <w:b/>
        </w:rPr>
      </w:pP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 xml:space="preserve">.5.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w:t>
      </w:r>
      <w:r w:rsidRPr="00716972">
        <w:rPr>
          <w:sz w:val="21"/>
          <w:szCs w:val="21"/>
        </w:rPr>
        <w:lastRenderedPageBreak/>
        <w:t>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center"/>
        <w:rPr>
          <w:b/>
          <w:sz w:val="21"/>
          <w:szCs w:val="21"/>
        </w:rPr>
      </w:pP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2428B2" w:rsidRDefault="00FE21FE" w:rsidP="00FE21FE">
      <w:pPr>
        <w:ind w:right="-34"/>
        <w:jc w:val="center"/>
        <w:rPr>
          <w:b/>
          <w:sz w:val="21"/>
          <w:szCs w:val="21"/>
        </w:rPr>
      </w:pP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Pr="00716972">
        <w:rPr>
          <w:sz w:val="21"/>
          <w:szCs w:val="21"/>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2428B2" w:rsidRDefault="00FE21FE" w:rsidP="00FE21FE">
      <w:pPr>
        <w:jc w:val="center"/>
        <w:rPr>
          <w:b/>
          <w:sz w:val="21"/>
          <w:szCs w:val="21"/>
        </w:rPr>
      </w:pP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Договір,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Pr="006E2661" w:rsidRDefault="00FE21FE" w:rsidP="00FE21FE">
      <w:pPr>
        <w:pStyle w:val="212"/>
        <w:tabs>
          <w:tab w:val="left" w:pos="567"/>
        </w:tabs>
        <w:spacing w:line="240" w:lineRule="auto"/>
        <w:ind w:firstLine="0"/>
        <w:jc w:val="both"/>
        <w:rPr>
          <w:bCs/>
          <w:sz w:val="20"/>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1" w:name="bookmark18"/>
      <w:bookmarkEnd w:id="11"/>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tabs>
                <w:tab w:val="left" w:pos="604"/>
              </w:tabs>
              <w:spacing w:line="240" w:lineRule="atLeast"/>
              <w:rPr>
                <w:sz w:val="22"/>
                <w:szCs w:val="22"/>
                <w:lang w:val="uk-UA"/>
              </w:rPr>
            </w:pP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FE21FE" w:rsidRPr="009F75CC" w:rsidTr="00FE21FE">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bookmarkStart w:id="12"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уп</w:t>
            </w:r>
          </w:p>
        </w:tc>
        <w:tc>
          <w:tcPr>
            <w:tcW w:w="1418" w:type="dxa"/>
            <w:tcBorders>
              <w:top w:val="single" w:sz="4" w:space="0" w:color="auto"/>
              <w:left w:val="nil"/>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rPr>
                <w:b/>
                <w:sz w:val="22"/>
                <w:szCs w:val="22"/>
                <w:lang w:val="uk-UA"/>
              </w:rPr>
            </w:pPr>
            <w:r>
              <w:rPr>
                <w:b/>
                <w:sz w:val="22"/>
                <w:szCs w:val="22"/>
                <w:lang w:val="uk-UA"/>
              </w:rPr>
              <w:t>Країна походження товару</w:t>
            </w:r>
          </w:p>
        </w:tc>
      </w:tr>
      <w:tr w:rsidR="00FE21FE" w:rsidRPr="009F75CC" w:rsidTr="00FE21FE">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FE21FE" w:rsidRPr="009F75CC" w:rsidRDefault="00FE21FE" w:rsidP="00FE21FE">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FE21FE" w:rsidRPr="00904888" w:rsidRDefault="00FE21FE" w:rsidP="00FE21FE">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tr w:rsidR="00FE21FE" w:rsidRPr="009F75CC" w:rsidTr="00FE21FE">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21FE" w:rsidRPr="009F75CC" w:rsidRDefault="00FE21FE" w:rsidP="00FE21FE">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E21FE" w:rsidRPr="009F75CC" w:rsidRDefault="00FE21FE" w:rsidP="00FE21FE">
            <w:pPr>
              <w:suppressAutoHyphens w:val="0"/>
              <w:jc w:val="center"/>
              <w:rPr>
                <w:color w:val="auto"/>
                <w:sz w:val="22"/>
                <w:szCs w:val="22"/>
                <w:lang w:eastAsia="ru-RU"/>
              </w:rPr>
            </w:pPr>
          </w:p>
        </w:tc>
      </w:tr>
      <w:bookmarkEnd w:id="12"/>
    </w:tbl>
    <w:p w:rsidR="00B06732" w:rsidRPr="00B06732" w:rsidRDefault="00B06732" w:rsidP="00B06732">
      <w:pPr>
        <w:pStyle w:val="4"/>
        <w:jc w:val="center"/>
        <w:rPr>
          <w:rFonts w:ascii="Times New Roman" w:hAnsi="Times New Roman"/>
          <w:sz w:val="22"/>
          <w:szCs w:val="22"/>
          <w:lang w:val="uk-UA" w:eastAsia="ru-RU"/>
        </w:rPr>
      </w:pPr>
    </w:p>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8" w:rsidRDefault="007E2AC8">
      <w:r>
        <w:separator/>
      </w:r>
    </w:p>
  </w:endnote>
  <w:endnote w:type="continuationSeparator" w:id="0">
    <w:p w:rsidR="007E2AC8" w:rsidRDefault="007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8" w:rsidRDefault="007E2AC8">
      <w:r>
        <w:separator/>
      </w:r>
    </w:p>
  </w:footnote>
  <w:footnote w:type="continuationSeparator" w:id="0">
    <w:p w:rsidR="007E2AC8" w:rsidRDefault="007E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13236"/>
    <w:rsid w:val="0002707C"/>
    <w:rsid w:val="00027AD6"/>
    <w:rsid w:val="00044886"/>
    <w:rsid w:val="00080B77"/>
    <w:rsid w:val="00080E1B"/>
    <w:rsid w:val="000A0B30"/>
    <w:rsid w:val="000A7E8A"/>
    <w:rsid w:val="000D02F7"/>
    <w:rsid w:val="000E78B9"/>
    <w:rsid w:val="0010386B"/>
    <w:rsid w:val="001240B9"/>
    <w:rsid w:val="001279EC"/>
    <w:rsid w:val="00142457"/>
    <w:rsid w:val="00146CE1"/>
    <w:rsid w:val="001561AA"/>
    <w:rsid w:val="00157D56"/>
    <w:rsid w:val="00186DEA"/>
    <w:rsid w:val="00191864"/>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356AA"/>
    <w:rsid w:val="003410A9"/>
    <w:rsid w:val="00355789"/>
    <w:rsid w:val="0035592C"/>
    <w:rsid w:val="00363775"/>
    <w:rsid w:val="00384565"/>
    <w:rsid w:val="003920A8"/>
    <w:rsid w:val="003946C9"/>
    <w:rsid w:val="003A1A88"/>
    <w:rsid w:val="003B0ABC"/>
    <w:rsid w:val="003B64FE"/>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2550"/>
    <w:rsid w:val="0052761B"/>
    <w:rsid w:val="00554D54"/>
    <w:rsid w:val="00556EBB"/>
    <w:rsid w:val="00566EF5"/>
    <w:rsid w:val="00571D34"/>
    <w:rsid w:val="0058189C"/>
    <w:rsid w:val="00591FD4"/>
    <w:rsid w:val="005D1E83"/>
    <w:rsid w:val="005D2150"/>
    <w:rsid w:val="005D61B4"/>
    <w:rsid w:val="005E0B6A"/>
    <w:rsid w:val="0060610A"/>
    <w:rsid w:val="006367EF"/>
    <w:rsid w:val="00636934"/>
    <w:rsid w:val="00642D3F"/>
    <w:rsid w:val="00674EF4"/>
    <w:rsid w:val="00683E07"/>
    <w:rsid w:val="006A23A9"/>
    <w:rsid w:val="006B44FF"/>
    <w:rsid w:val="006E2661"/>
    <w:rsid w:val="006E56DD"/>
    <w:rsid w:val="006F2313"/>
    <w:rsid w:val="006F5BFB"/>
    <w:rsid w:val="00716FED"/>
    <w:rsid w:val="00722CC9"/>
    <w:rsid w:val="00732AFE"/>
    <w:rsid w:val="007330FE"/>
    <w:rsid w:val="0075439F"/>
    <w:rsid w:val="00757693"/>
    <w:rsid w:val="00781A0F"/>
    <w:rsid w:val="0078735D"/>
    <w:rsid w:val="0079051C"/>
    <w:rsid w:val="007C4BB9"/>
    <w:rsid w:val="007E2AC8"/>
    <w:rsid w:val="007F3259"/>
    <w:rsid w:val="0081133F"/>
    <w:rsid w:val="008122BD"/>
    <w:rsid w:val="00813307"/>
    <w:rsid w:val="00816318"/>
    <w:rsid w:val="00843213"/>
    <w:rsid w:val="0085142A"/>
    <w:rsid w:val="00852DCC"/>
    <w:rsid w:val="00860469"/>
    <w:rsid w:val="008930F6"/>
    <w:rsid w:val="008A102B"/>
    <w:rsid w:val="008A1174"/>
    <w:rsid w:val="008D0E77"/>
    <w:rsid w:val="008D3F07"/>
    <w:rsid w:val="008D7201"/>
    <w:rsid w:val="008F6B5A"/>
    <w:rsid w:val="00904888"/>
    <w:rsid w:val="0091051D"/>
    <w:rsid w:val="009271F8"/>
    <w:rsid w:val="009275E9"/>
    <w:rsid w:val="00927AC3"/>
    <w:rsid w:val="009421B8"/>
    <w:rsid w:val="009721A9"/>
    <w:rsid w:val="0097282C"/>
    <w:rsid w:val="0097716E"/>
    <w:rsid w:val="00977F5E"/>
    <w:rsid w:val="009B10D7"/>
    <w:rsid w:val="009B295D"/>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7475"/>
    <w:rsid w:val="00B458F1"/>
    <w:rsid w:val="00BC67F5"/>
    <w:rsid w:val="00BF694A"/>
    <w:rsid w:val="00C00F46"/>
    <w:rsid w:val="00C200C0"/>
    <w:rsid w:val="00C23DE5"/>
    <w:rsid w:val="00C2684A"/>
    <w:rsid w:val="00C3591F"/>
    <w:rsid w:val="00C436E6"/>
    <w:rsid w:val="00C86FCE"/>
    <w:rsid w:val="00CA51A3"/>
    <w:rsid w:val="00CB30C0"/>
    <w:rsid w:val="00CB52CF"/>
    <w:rsid w:val="00CD14C4"/>
    <w:rsid w:val="00D04A08"/>
    <w:rsid w:val="00D10BD5"/>
    <w:rsid w:val="00D350C2"/>
    <w:rsid w:val="00D43348"/>
    <w:rsid w:val="00D54B6A"/>
    <w:rsid w:val="00D66B02"/>
    <w:rsid w:val="00D76439"/>
    <w:rsid w:val="00D76F5D"/>
    <w:rsid w:val="00D908F1"/>
    <w:rsid w:val="00DA7CA4"/>
    <w:rsid w:val="00DC4512"/>
    <w:rsid w:val="00DC6540"/>
    <w:rsid w:val="00DD0F17"/>
    <w:rsid w:val="00DD3A80"/>
    <w:rsid w:val="00DD5B62"/>
    <w:rsid w:val="00DD7B36"/>
    <w:rsid w:val="00DF2CC2"/>
    <w:rsid w:val="00E162CD"/>
    <w:rsid w:val="00E32246"/>
    <w:rsid w:val="00E35AC2"/>
    <w:rsid w:val="00E35CCF"/>
    <w:rsid w:val="00E4395A"/>
    <w:rsid w:val="00E66152"/>
    <w:rsid w:val="00E77C80"/>
    <w:rsid w:val="00E77CDC"/>
    <w:rsid w:val="00E857A0"/>
    <w:rsid w:val="00EC5873"/>
    <w:rsid w:val="00EC6D62"/>
    <w:rsid w:val="00ED63F7"/>
    <w:rsid w:val="00EF144C"/>
    <w:rsid w:val="00F01FD4"/>
    <w:rsid w:val="00F442F5"/>
    <w:rsid w:val="00F44E0C"/>
    <w:rsid w:val="00F600E0"/>
    <w:rsid w:val="00F653BF"/>
    <w:rsid w:val="00F7579E"/>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410EEA-D671-4E1C-8329-AE8DCFA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5C22-7A24-47D0-8F61-D811333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4</cp:revision>
  <cp:lastPrinted>2018-05-03T12:53:00Z</cp:lastPrinted>
  <dcterms:created xsi:type="dcterms:W3CDTF">2024-04-09T19:06:00Z</dcterms:created>
  <dcterms:modified xsi:type="dcterms:W3CDTF">2024-04-09T19:15:00Z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