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767C3E74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670F0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33D62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EE58D1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401E89D6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670F0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33D62">
        <w:rPr>
          <w:rFonts w:ascii="Times New Roman" w:hAnsi="Times New Roman" w:cs="Times New Roman"/>
          <w:b/>
          <w:bCs/>
          <w:sz w:val="25"/>
          <w:szCs w:val="25"/>
        </w:rPr>
        <w:t>9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FB2637">
        <w:rPr>
          <w:rFonts w:ascii="Times New Roman" w:hAnsi="Times New Roman" w:cs="Times New Roman"/>
          <w:b/>
          <w:bCs/>
          <w:sz w:val="25"/>
          <w:szCs w:val="25"/>
          <w:lang w:val="ru-RU"/>
        </w:rPr>
        <w:t>січня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EE08517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138CB">
        <w:rPr>
          <w:rFonts w:ascii="Times New Roman" w:hAnsi="Times New Roman" w:cs="Times New Roman"/>
          <w:sz w:val="24"/>
          <w:szCs w:val="24"/>
        </w:rPr>
        <w:t xml:space="preserve"> </w:t>
      </w:r>
      <w:r w:rsidR="00EE58D1" w:rsidRPr="00EE58D1">
        <w:rPr>
          <w:rFonts w:ascii="Times New Roman" w:hAnsi="Times New Roman" w:cs="Times New Roman"/>
          <w:sz w:val="24"/>
          <w:szCs w:val="24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iнструментальних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дослiджень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сферi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санiтарного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епiдемiчного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благополуччя населення</w:t>
      </w:r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5139E3F2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EE58D1">
        <w:rPr>
          <w:rFonts w:ascii="Times New Roman" w:hAnsi="Times New Roman" w:cs="Times New Roman"/>
          <w:sz w:val="24"/>
          <w:szCs w:val="24"/>
        </w:rPr>
        <w:t xml:space="preserve">34520,50 </w:t>
      </w:r>
      <w:r w:rsid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46379FFF" w:rsidR="00C45E96" w:rsidRPr="00EE58D1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iнструментальних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дослiджень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сферi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санiтарного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епiдемiчного</w:t>
      </w:r>
      <w:proofErr w:type="spellEnd"/>
      <w:r w:rsidR="00EE58D1" w:rsidRP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благополуччя населення</w:t>
      </w:r>
      <w:r w:rsidR="00EE58D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D86C753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EE58D1" w:rsidRPr="00EE58D1">
        <w:rPr>
          <w:rFonts w:ascii="Times New Roman" w:hAnsi="Times New Roman" w:cs="Times New Roman"/>
          <w:sz w:val="24"/>
          <w:szCs w:val="24"/>
        </w:rPr>
        <w:t xml:space="preserve">Послуги з проведення лабораторних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iнструментальних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дослiджень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сферi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санiтарного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58D1" w:rsidRPr="00EE58D1">
        <w:rPr>
          <w:rFonts w:ascii="Times New Roman" w:hAnsi="Times New Roman" w:cs="Times New Roman"/>
          <w:sz w:val="24"/>
          <w:szCs w:val="24"/>
        </w:rPr>
        <w:t>епiдемiчного</w:t>
      </w:r>
      <w:proofErr w:type="spellEnd"/>
      <w:r w:rsidR="00EE58D1" w:rsidRPr="00EE58D1">
        <w:rPr>
          <w:rFonts w:ascii="Times New Roman" w:hAnsi="Times New Roman" w:cs="Times New Roman"/>
          <w:sz w:val="24"/>
          <w:szCs w:val="24"/>
        </w:rPr>
        <w:t xml:space="preserve"> благополуччя населення</w:t>
      </w:r>
      <w:r w:rsidR="00733D62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D138CB"/>
    <w:rsid w:val="00D203A0"/>
    <w:rsid w:val="00D54F29"/>
    <w:rsid w:val="00DD439A"/>
    <w:rsid w:val="00DF0DA7"/>
    <w:rsid w:val="00E30A1D"/>
    <w:rsid w:val="00E3210E"/>
    <w:rsid w:val="00E76C29"/>
    <w:rsid w:val="00E90D7E"/>
    <w:rsid w:val="00EB1EF1"/>
    <w:rsid w:val="00EE1F9C"/>
    <w:rsid w:val="00EE58D1"/>
    <w:rsid w:val="00F005EF"/>
    <w:rsid w:val="00F41825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2024-01-29T20:27:00Z</dcterms:created>
  <dcterms:modified xsi:type="dcterms:W3CDTF">2024-01-29T20:27:00Z</dcterms:modified>
</cp:coreProperties>
</file>