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4B41" w:rsidRDefault="00CC7540" w:rsidP="00AB1EA4">
      <w:pPr>
        <w:jc w:val="right"/>
        <w:rPr>
          <w:i/>
          <w:lang w:val="uk-UA"/>
        </w:rPr>
      </w:pPr>
      <w:r>
        <w:rPr>
          <w:i/>
          <w:highlight w:val="yellow"/>
          <w:lang w:val="uk-UA"/>
        </w:rPr>
        <w:t>П</w:t>
      </w:r>
      <w:r w:rsidR="00AB1EA4" w:rsidRPr="00C436E6">
        <w:rPr>
          <w:i/>
          <w:highlight w:val="yellow"/>
          <w:lang w:val="uk-UA"/>
        </w:rPr>
        <w:t>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54F6C" w:rsidRPr="00954F6C" w:rsidRDefault="00904888" w:rsidP="00954F6C">
      <w:pPr>
        <w:pStyle w:val="1"/>
        <w:shd w:val="clear" w:color="auto" w:fill="EEEEEE"/>
        <w:spacing w:before="0" w:after="0"/>
        <w:jc w:val="both"/>
        <w:textAlignment w:val="baseline"/>
        <w:rPr>
          <w:rFonts w:ascii="Times New Roman" w:hAnsi="Times New Roman" w:cs="Times New Roman"/>
          <w:b w:val="0"/>
          <w:sz w:val="22"/>
          <w:szCs w:val="22"/>
          <w:lang w:val="uk-UA" w:eastAsia="ru-RU"/>
        </w:rPr>
      </w:pPr>
      <w:r w:rsidRPr="00954F6C">
        <w:rPr>
          <w:rFonts w:ascii="Times New Roman" w:hAnsi="Times New Roman" w:cs="Times New Roman"/>
          <w:b w:val="0"/>
          <w:sz w:val="22"/>
          <w:szCs w:val="22"/>
          <w:lang w:val="uk-UA" w:eastAsia="ru-RU"/>
        </w:rPr>
        <w:t>1.1 В порядку та на умовах, визначених цим Договором, Постачальник бере на себе зобов’язання п</w:t>
      </w:r>
      <w:r w:rsidR="00683E07" w:rsidRPr="00954F6C">
        <w:rPr>
          <w:rFonts w:ascii="Times New Roman" w:hAnsi="Times New Roman" w:cs="Times New Roman"/>
          <w:b w:val="0"/>
          <w:sz w:val="22"/>
          <w:szCs w:val="22"/>
          <w:lang w:val="uk-UA" w:eastAsia="ru-RU"/>
        </w:rPr>
        <w:t>ередати у власність Замовника -</w:t>
      </w:r>
      <w:r w:rsidR="006367EF" w:rsidRPr="00954F6C">
        <w:rPr>
          <w:rFonts w:ascii="Times New Roman" w:hAnsi="Times New Roman" w:cs="Times New Roman"/>
          <w:b w:val="0"/>
          <w:sz w:val="22"/>
          <w:szCs w:val="22"/>
          <w:lang w:val="uk-UA" w:eastAsia="ru-RU"/>
        </w:rPr>
        <w:t xml:space="preserve"> </w:t>
      </w:r>
      <w:r w:rsidR="00954F6C" w:rsidRPr="00954F6C">
        <w:rPr>
          <w:rFonts w:ascii="Times New Roman" w:hAnsi="Times New Roman" w:cs="Times New Roman"/>
          <w:b w:val="0"/>
          <w:sz w:val="22"/>
          <w:szCs w:val="22"/>
          <w:lang w:val="uk-UA" w:eastAsia="ru-RU"/>
        </w:rPr>
        <w:t>Тест-смужки для напівавтоматичного якісного експрес аналізу сечі на 11 параметрів (прилади: LabAnalyt-</w:t>
      </w:r>
      <w:proofErr w:type="gramStart"/>
      <w:r w:rsidR="00954F6C" w:rsidRPr="00954F6C">
        <w:rPr>
          <w:rFonts w:ascii="Times New Roman" w:hAnsi="Times New Roman" w:cs="Times New Roman"/>
          <w:b w:val="0"/>
          <w:sz w:val="22"/>
          <w:szCs w:val="22"/>
          <w:lang w:val="uk-UA" w:eastAsia="ru-RU"/>
        </w:rPr>
        <w:t>50,LabAnalyt</w:t>
      </w:r>
      <w:proofErr w:type="gramEnd"/>
      <w:r w:rsidR="00954F6C" w:rsidRPr="00954F6C">
        <w:rPr>
          <w:rFonts w:ascii="Times New Roman" w:hAnsi="Times New Roman" w:cs="Times New Roman"/>
          <w:b w:val="0"/>
          <w:sz w:val="22"/>
          <w:szCs w:val="22"/>
          <w:lang w:val="uk-UA" w:eastAsia="ru-RU"/>
        </w:rPr>
        <w:t>-180,LabAnalyt-500,LabAnalyt-В/С/US-500 АІ) №100</w:t>
      </w:r>
    </w:p>
    <w:p w:rsidR="00904888" w:rsidRPr="00FF32C0" w:rsidRDefault="00E35AC2" w:rsidP="00683E07">
      <w:pPr>
        <w:pStyle w:val="212"/>
        <w:tabs>
          <w:tab w:val="left" w:pos="479"/>
        </w:tabs>
        <w:spacing w:line="240" w:lineRule="auto"/>
        <w:ind w:firstLine="0"/>
        <w:jc w:val="both"/>
        <w:rPr>
          <w:bCs/>
        </w:rPr>
      </w:pPr>
      <w:r>
        <w:rPr>
          <w:b/>
          <w:sz w:val="24"/>
          <w:szCs w:val="24"/>
          <w:lang w:eastAsia="en-US"/>
        </w:rPr>
        <w:t>.</w:t>
      </w:r>
      <w:r w:rsidR="00FF32C0" w:rsidRPr="00280B7F">
        <w:t xml:space="preserve"> </w:t>
      </w:r>
      <w:r w:rsidR="00904888" w:rsidRPr="00FF32C0">
        <w:rPr>
          <w:bCs/>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954F6C" w:rsidRDefault="00904888" w:rsidP="009B6ACD">
      <w:pPr>
        <w:pStyle w:val="212"/>
        <w:tabs>
          <w:tab w:val="left" w:pos="479"/>
        </w:tabs>
        <w:spacing w:line="240" w:lineRule="auto"/>
        <w:ind w:firstLine="0"/>
        <w:jc w:val="both"/>
        <w:rPr>
          <w:b/>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954F6C">
        <w:rPr>
          <w:sz w:val="24"/>
          <w:szCs w:val="24"/>
          <w:lang w:val="uk-UA" w:eastAsia="en-US"/>
        </w:rPr>
        <w:t xml:space="preserve"> </w:t>
      </w:r>
      <w:r w:rsidR="00954F6C" w:rsidRPr="00954F6C">
        <w:rPr>
          <w:b/>
          <w:lang w:val="uk-UA"/>
        </w:rPr>
        <w:t>Тест-смужки для напівавтоматичного якісного експрес аналізу сечі на 11 параметрів (прилади: LabAnalyt-50,LabAnalyt-180,LabAnalyt-500,LabAnalyt-В/С/US-500 АІ) №100</w:t>
      </w:r>
      <w:r w:rsidR="00954F6C">
        <w:rPr>
          <w:b/>
          <w:lang w:val="uk-UA"/>
        </w:rPr>
        <w:t>.</w:t>
      </w:r>
    </w:p>
    <w:p w:rsidR="00146CE1" w:rsidRPr="00D76F5D" w:rsidRDefault="001279EC" w:rsidP="009B6ACD">
      <w:pPr>
        <w:pStyle w:val="212"/>
        <w:tabs>
          <w:tab w:val="left" w:pos="479"/>
        </w:tabs>
        <w:spacing w:line="240" w:lineRule="auto"/>
        <w:ind w:firstLine="0"/>
        <w:jc w:val="both"/>
        <w:rPr>
          <w:rFonts w:eastAsia="Arial Unicode MS"/>
          <w:color w:val="auto"/>
          <w:lang w:val="uk-UA" w:eastAsia="hi-IN" w:bidi="hi-IN"/>
        </w:rPr>
      </w:pPr>
      <w:bookmarkStart w:id="5" w:name="_GoBack"/>
      <w:bookmarkEnd w:id="5"/>
      <w:r w:rsidRPr="00954F6C">
        <w:rPr>
          <w:lang w:val="uk-UA"/>
        </w:rPr>
        <w:t>Код за Єдиним закупівельним словником:</w:t>
      </w:r>
      <w:r>
        <w:rPr>
          <w:lang w:val="uk-UA"/>
        </w:rPr>
        <w:t xml:space="preserve"> </w:t>
      </w:r>
      <w:r w:rsidRPr="00532798">
        <w:rPr>
          <w:bCs/>
          <w:lang w:val="uk-UA"/>
        </w:rPr>
        <w:t>ДК 021:2015:</w:t>
      </w:r>
      <w:r>
        <w:rPr>
          <w:bCs/>
          <w:lang w:val="uk-UA"/>
        </w:rPr>
        <w:t xml:space="preserve"> </w:t>
      </w:r>
      <w:r w:rsidR="00D76F5D" w:rsidRPr="00D76F5D">
        <w:rPr>
          <w:rFonts w:eastAsia="Arial Unicode MS"/>
          <w:color w:val="auto"/>
          <w:lang w:val="uk-UA" w:eastAsia="hi-IN" w:bidi="hi-IN"/>
        </w:rPr>
        <w:t>33120000-7 – «Системи реєстрації медичної інформації та дослідне обладнання»</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Pr>
          <w:lang w:val="uk-UA"/>
        </w:rPr>
        <w:lastRenderedPageBreak/>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E2661" w:rsidRDefault="002329B8" w:rsidP="002329B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2329B8" w:rsidRDefault="002329B8" w:rsidP="002329B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4.8.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E35AC2">
        <w:rPr>
          <w:b/>
          <w:bCs/>
          <w:color w:val="auto"/>
          <w:lang w:val="uk-UA"/>
        </w:rPr>
        <w:t>2</w:t>
      </w:r>
      <w:r w:rsidR="00DD5B62">
        <w:rPr>
          <w:b/>
          <w:bCs/>
          <w:color w:val="auto"/>
          <w:lang w:val="uk-UA"/>
        </w:rPr>
        <w:t>2</w:t>
      </w:r>
      <w:r w:rsidR="006367EF">
        <w:rPr>
          <w:b/>
          <w:bCs/>
          <w:color w:val="auto"/>
          <w:lang w:val="uk-UA"/>
        </w:rPr>
        <w:t xml:space="preserve"> </w:t>
      </w:r>
      <w:r w:rsidR="00D76F5D">
        <w:rPr>
          <w:b/>
          <w:bCs/>
          <w:color w:val="auto"/>
          <w:lang w:val="uk-UA"/>
        </w:rPr>
        <w:t>березня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 xml:space="preserve">Видаткова накладна підписується Сторонами після приймання Товару в разі відсутності претензій до </w:t>
      </w:r>
      <w:r w:rsidRPr="006E2661">
        <w:rPr>
          <w:bCs/>
          <w:lang w:val="uk-UA"/>
        </w:rPr>
        <w:lastRenderedPageBreak/>
        <w:t>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369DF">
        <w:rPr>
          <w:sz w:val="21"/>
          <w:szCs w:val="21"/>
          <w:lang w:val="ru-RU" w:eastAsia="ru-RU"/>
        </w:rPr>
        <w:t>на ринку</w:t>
      </w:r>
      <w:proofErr w:type="gramEnd"/>
      <w:r w:rsidRPr="004369DF">
        <w:rPr>
          <w:sz w:val="21"/>
          <w:szCs w:val="21"/>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proofErr w:type="gramStart"/>
      <w:r w:rsidRPr="002428B2">
        <w:rPr>
          <w:b/>
        </w:rPr>
        <w:t>.</w:t>
      </w:r>
      <w:r w:rsidRPr="00B04670">
        <w:rPr>
          <w:b/>
        </w:rPr>
        <w:t xml:space="preserve"> </w:t>
      </w:r>
      <w:r>
        <w:rPr>
          <w:b/>
        </w:rPr>
        <w:t xml:space="preserve"> П</w:t>
      </w:r>
      <w:r>
        <w:rPr>
          <w:b/>
          <w:lang w:val="uk-UA"/>
        </w:rPr>
        <w:t>ОРЯДОК</w:t>
      </w:r>
      <w:proofErr w:type="gramEnd"/>
      <w:r>
        <w:rPr>
          <w:b/>
          <w:lang w:val="uk-UA"/>
        </w:rPr>
        <w:t xml:space="preserve">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.1. Зміни </w:t>
      </w:r>
      <w:proofErr w:type="gramStart"/>
      <w:r w:rsidRPr="00716972">
        <w:rPr>
          <w:sz w:val="21"/>
          <w:szCs w:val="21"/>
        </w:rPr>
        <w:t>до договору</w:t>
      </w:r>
      <w:proofErr w:type="gramEnd"/>
      <w:r w:rsidRPr="00716972">
        <w:rPr>
          <w:sz w:val="21"/>
          <w:szCs w:val="21"/>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.2.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 xml:space="preserve">.3. Пропозиція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.4. Сторона, що отримала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w:t>
      </w:r>
      <w:proofErr w:type="gramStart"/>
      <w:r w:rsidRPr="00716972">
        <w:rPr>
          <w:sz w:val="21"/>
          <w:szCs w:val="21"/>
        </w:rPr>
        <w:t>договору“</w:t>
      </w:r>
      <w:proofErr w:type="gramEnd"/>
      <w:r w:rsidRPr="00716972">
        <w:rPr>
          <w:sz w:val="21"/>
          <w:szCs w:val="21"/>
        </w:rPr>
        <w:t>.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w:t>
      </w:r>
      <w:proofErr w:type="gramStart"/>
      <w:r w:rsidRPr="000F3967">
        <w:rPr>
          <w:sz w:val="21"/>
          <w:szCs w:val="21"/>
        </w:rPr>
        <w:t xml:space="preserve">цим </w:t>
      </w:r>
      <w:r w:rsidRPr="00716972">
        <w:rPr>
          <w:sz w:val="21"/>
          <w:szCs w:val="21"/>
        </w:rPr>
        <w:t xml:space="preserve"> договор</w:t>
      </w:r>
      <w:r w:rsidRPr="000F3967">
        <w:rPr>
          <w:sz w:val="21"/>
          <w:szCs w:val="21"/>
        </w:rPr>
        <w:t>ом</w:t>
      </w:r>
      <w:proofErr w:type="gramEnd"/>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lastRenderedPageBreak/>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w:t>
      </w:r>
      <w:proofErr w:type="gramStart"/>
      <w:r w:rsidRPr="00716972">
        <w:rPr>
          <w:sz w:val="21"/>
          <w:szCs w:val="21"/>
        </w:rPr>
        <w:t>в будь</w:t>
      </w:r>
      <w:proofErr w:type="gramEnd"/>
      <w:r w:rsidRPr="00716972">
        <w:rPr>
          <w:sz w:val="21"/>
          <w:szCs w:val="21"/>
        </w:rPr>
        <w:t xml:space="preserve">-який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proofErr w:type="gramStart"/>
      <w:r w:rsidRPr="000F3967">
        <w:rPr>
          <w:sz w:val="21"/>
          <w:szCs w:val="21"/>
        </w:rPr>
        <w:t>Виконавця</w:t>
      </w:r>
      <w:r w:rsidRPr="00716972">
        <w:rPr>
          <w:sz w:val="21"/>
          <w:szCs w:val="21"/>
        </w:rPr>
        <w:t xml:space="preserve">  _</w:t>
      </w:r>
      <w:proofErr w:type="gramEnd"/>
      <w:r w:rsidRPr="00716972">
        <w:rPr>
          <w:sz w:val="21"/>
          <w:szCs w:val="21"/>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716972">
        <w:rPr>
          <w:sz w:val="21"/>
          <w:szCs w:val="21"/>
        </w:rPr>
        <w:t>на адресу</w:t>
      </w:r>
      <w:proofErr w:type="gramEnd"/>
      <w:r w:rsidRPr="00716972">
        <w:rPr>
          <w:sz w:val="21"/>
          <w:szCs w:val="21"/>
        </w:rPr>
        <w:t xml:space="preserve">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w:t>
      </w:r>
      <w:proofErr w:type="gramStart"/>
      <w:r w:rsidRPr="00716972">
        <w:rPr>
          <w:sz w:val="21"/>
          <w:szCs w:val="21"/>
        </w:rPr>
        <w:t>на адресу</w:t>
      </w:r>
      <w:proofErr w:type="gramEnd"/>
      <w:r w:rsidRPr="00716972">
        <w:rPr>
          <w:sz w:val="21"/>
          <w:szCs w:val="21"/>
        </w:rPr>
        <w:t xml:space="preserve">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lastRenderedPageBreak/>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D76F5D">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 xml:space="preserve">Цей Договір, може бути розірваний за згодою Сторін, або </w:t>
      </w:r>
      <w:proofErr w:type="gramStart"/>
      <w:r w:rsidRPr="00C03EF0">
        <w:rPr>
          <w:sz w:val="21"/>
          <w:szCs w:val="21"/>
        </w:rPr>
        <w:t>в порядку</w:t>
      </w:r>
      <w:proofErr w:type="gramEnd"/>
      <w:r w:rsidRPr="00C03EF0">
        <w:rPr>
          <w:sz w:val="21"/>
          <w:szCs w:val="21"/>
        </w:rPr>
        <w:t>,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1" w:name="bookmark18"/>
      <w:bookmarkEnd w:id="11"/>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DD5B62" w:rsidP="00FE21FE">
            <w:pPr>
              <w:rPr>
                <w:bCs/>
                <w:sz w:val="22"/>
                <w:szCs w:val="22"/>
                <w:lang w:val="uk-UA"/>
              </w:rPr>
            </w:pPr>
            <w:r>
              <w:rPr>
                <w:i/>
                <w:iCs/>
                <w:lang w:eastAsia="x-none"/>
              </w:rPr>
              <w:t>Тест-смужки для напівавтоматичного якісного експрес аналізу сечі на 11 параметрів</w:t>
            </w: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C8" w:rsidRDefault="007E2AC8">
      <w:r>
        <w:separator/>
      </w:r>
    </w:p>
  </w:endnote>
  <w:endnote w:type="continuationSeparator" w:id="0">
    <w:p w:rsidR="007E2AC8" w:rsidRDefault="007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C8" w:rsidRDefault="007E2AC8">
      <w:r>
        <w:separator/>
      </w:r>
    </w:p>
  </w:footnote>
  <w:footnote w:type="continuationSeparator" w:id="0">
    <w:p w:rsidR="007E2AC8" w:rsidRDefault="007E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1"/>
    <w:rsid w:val="00004D9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7E2AC8"/>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888"/>
    <w:rsid w:val="0091051D"/>
    <w:rsid w:val="009271F8"/>
    <w:rsid w:val="009275E9"/>
    <w:rsid w:val="00927AC3"/>
    <w:rsid w:val="009421B8"/>
    <w:rsid w:val="00954F6C"/>
    <w:rsid w:val="009721A9"/>
    <w:rsid w:val="0097282C"/>
    <w:rsid w:val="0097716E"/>
    <w:rsid w:val="00977F5E"/>
    <w:rsid w:val="009B10D7"/>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694A"/>
    <w:rsid w:val="00C00F46"/>
    <w:rsid w:val="00C23DE5"/>
    <w:rsid w:val="00C2684A"/>
    <w:rsid w:val="00C3591F"/>
    <w:rsid w:val="00C436E6"/>
    <w:rsid w:val="00C86FCE"/>
    <w:rsid w:val="00CA51A3"/>
    <w:rsid w:val="00CB30C0"/>
    <w:rsid w:val="00CB52CF"/>
    <w:rsid w:val="00CC7540"/>
    <w:rsid w:val="00CD14C4"/>
    <w:rsid w:val="00D04A08"/>
    <w:rsid w:val="00D10BD5"/>
    <w:rsid w:val="00D350C2"/>
    <w:rsid w:val="00D43348"/>
    <w:rsid w:val="00D54B6A"/>
    <w:rsid w:val="00D66B02"/>
    <w:rsid w:val="00D76439"/>
    <w:rsid w:val="00D76F5D"/>
    <w:rsid w:val="00D908F1"/>
    <w:rsid w:val="00DA7CA4"/>
    <w:rsid w:val="00DC4512"/>
    <w:rsid w:val="00DC6540"/>
    <w:rsid w:val="00DD0F17"/>
    <w:rsid w:val="00DD3A80"/>
    <w:rsid w:val="00DD5B62"/>
    <w:rsid w:val="00DD7B36"/>
    <w:rsid w:val="00DF2CC2"/>
    <w:rsid w:val="00E162CD"/>
    <w:rsid w:val="00E32246"/>
    <w:rsid w:val="00E35AC2"/>
    <w:rsid w:val="00E35CCF"/>
    <w:rsid w:val="00E4395A"/>
    <w:rsid w:val="00E66152"/>
    <w:rsid w:val="00E77C80"/>
    <w:rsid w:val="00E77CDC"/>
    <w:rsid w:val="00E857A0"/>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410EEA-D671-4E1C-8329-AE8DCFA6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8541">
      <w:bodyDiv w:val="1"/>
      <w:marLeft w:val="0"/>
      <w:marRight w:val="0"/>
      <w:marTop w:val="0"/>
      <w:marBottom w:val="0"/>
      <w:divBdr>
        <w:top w:val="none" w:sz="0" w:space="0" w:color="auto"/>
        <w:left w:val="none" w:sz="0" w:space="0" w:color="auto"/>
        <w:bottom w:val="none" w:sz="0" w:space="0" w:color="auto"/>
        <w:right w:val="none" w:sz="0" w:space="0" w:color="auto"/>
      </w:divBdr>
    </w:div>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54B8-33D2-41D6-9DDC-7F43FC19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17741</Words>
  <Characters>10113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4</cp:revision>
  <cp:lastPrinted>2018-05-03T12:53:00Z</cp:lastPrinted>
  <dcterms:created xsi:type="dcterms:W3CDTF">2024-02-25T17:05:00Z</dcterms:created>
  <dcterms:modified xsi:type="dcterms:W3CDTF">2024-02-25T17:10:00Z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