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r w:rsidRPr="007F08C9">
        <w:rPr>
          <w:rFonts w:ascii="Times New Roman" w:hAnsi="Times New Roman" w:cs="Times New Roman"/>
          <w:b/>
          <w:sz w:val="24"/>
          <w:szCs w:val="24"/>
        </w:rPr>
        <w:t xml:space="preserve">Комунальне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 xml:space="preserve">протокол від </w:t>
            </w:r>
            <w:r w:rsidR="003A7C8F">
              <w:rPr>
                <w:rFonts w:ascii="Times New Roman" w:hAnsi="Times New Roman" w:cs="Times New Roman"/>
                <w:b/>
                <w:sz w:val="20"/>
                <w:szCs w:val="20"/>
                <w:highlight w:val="yellow"/>
                <w:lang w:val="uk-UA"/>
              </w:rPr>
              <w:t>16.05.2023</w:t>
            </w:r>
            <w:r>
              <w:rPr>
                <w:rFonts w:ascii="Times New Roman" w:hAnsi="Times New Roman" w:cs="Times New Roman"/>
                <w:b/>
                <w:sz w:val="20"/>
                <w:szCs w:val="20"/>
                <w:highlight w:val="yellow"/>
                <w:lang w:val="uk-UA"/>
              </w:rPr>
              <w:t xml:space="preserve"> року</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_________________</w:t>
            </w:r>
            <w:r>
              <w:rPr>
                <w:rFonts w:ascii="Times New Roman" w:hAnsi="Times New Roman" w:cs="Times New Roman"/>
                <w:b/>
                <w:sz w:val="20"/>
                <w:szCs w:val="20"/>
                <w:highlight w:val="yellow"/>
                <w:lang w:val="uk-UA"/>
              </w:rPr>
              <w:t>Губарець К.В.</w:t>
            </w:r>
          </w:p>
          <w:p w:rsidR="0043141A" w:rsidRPr="00852956" w:rsidRDefault="0043141A" w:rsidP="002E3C10">
            <w:pPr>
              <w:pStyle w:val="4"/>
              <w:spacing w:after="0"/>
              <w:jc w:val="center"/>
              <w:rPr>
                <w:rFonts w:ascii="Times New Roman" w:hAnsi="Times New Roman" w:cs="Times New Roman"/>
                <w:b/>
                <w:sz w:val="20"/>
                <w:szCs w:val="20"/>
                <w:highlight w:val="yellow"/>
              </w:rPr>
            </w:pPr>
          </w:p>
          <w:p w:rsidR="0043141A" w:rsidRPr="00852956" w:rsidRDefault="0043141A" w:rsidP="002E3C10">
            <w:pPr>
              <w:pStyle w:val="a3"/>
              <w:rPr>
                <w:rFonts w:ascii="Times New Roman" w:hAnsi="Times New Roman"/>
                <w:noProof/>
                <w:sz w:val="28"/>
                <w:highlight w:val="yellow"/>
                <w:lang w:val="ru-RU"/>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Default="0043141A" w:rsidP="002E3C10">
            <w:pPr>
              <w:pStyle w:val="Standard"/>
              <w:ind w:right="57"/>
              <w:rPr>
                <w:b/>
                <w:bCs/>
                <w:i/>
                <w:iCs/>
                <w:color w:val="121212"/>
                <w:lang w:val="uk-UA"/>
              </w:rPr>
            </w:pPr>
          </w:p>
          <w:p w:rsidR="00395350" w:rsidRPr="003803D6" w:rsidRDefault="0043141A" w:rsidP="00395350">
            <w:pPr>
              <w:pStyle w:val="a4"/>
              <w:widowControl/>
              <w:numPr>
                <w:ilvl w:val="5"/>
                <w:numId w:val="2"/>
              </w:numPr>
              <w:autoSpaceDE/>
              <w:spacing w:after="0"/>
              <w:ind w:right="1025"/>
              <w:jc w:val="center"/>
              <w:outlineLvl w:val="5"/>
              <w:rPr>
                <w:rFonts w:ascii="Times New Roman" w:hAnsi="Times New Roman" w:cs="Times New Roman"/>
                <w:b/>
                <w:bCs/>
                <w:lang w:val="uk-UA"/>
              </w:rPr>
            </w:pPr>
            <w:r>
              <w:rPr>
                <w:b/>
                <w:bCs/>
                <w:i/>
                <w:iCs/>
                <w:lang w:val="uk-UA"/>
              </w:rPr>
              <w:t>Нафта і дистиляти (ДК 021:2015; 091</w:t>
            </w:r>
            <w:r w:rsidR="00395350" w:rsidRPr="003803D6">
              <w:rPr>
                <w:b/>
                <w:bCs/>
                <w:i/>
                <w:iCs/>
                <w:lang w:val="uk-UA"/>
              </w:rPr>
              <w:t xml:space="preserve"> 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Музейна, м. Коростень, Житомирської області)</w:t>
            </w:r>
          </w:p>
          <w:p w:rsidR="0043141A" w:rsidRPr="00667C43" w:rsidRDefault="00395350" w:rsidP="00395350">
            <w:pPr>
              <w:pStyle w:val="a4"/>
              <w:widowControl/>
              <w:numPr>
                <w:ilvl w:val="5"/>
                <w:numId w:val="2"/>
              </w:numPr>
              <w:autoSpaceDE/>
              <w:spacing w:after="0"/>
              <w:ind w:right="1025"/>
              <w:jc w:val="center"/>
              <w:outlineLvl w:val="5"/>
              <w:rPr>
                <w:rFonts w:ascii="Times New Roman" w:hAnsi="Times New Roman" w:cs="Times New Roman"/>
                <w:b/>
                <w:bCs/>
                <w:lang w:val="uk-UA"/>
              </w:rPr>
            </w:pPr>
            <w:r>
              <w:rPr>
                <w:b/>
                <w:bCs/>
                <w:i/>
                <w:iCs/>
                <w:lang w:val="uk-UA"/>
              </w:rPr>
              <w:t xml:space="preserve"> (ДК 021:</w:t>
            </w:r>
            <w:r w:rsidRPr="00F74CE8">
              <w:rPr>
                <w:rFonts w:ascii="Times New Roman" w:hAnsi="Times New Roman" w:cs="Times New Roman"/>
                <w:b/>
                <w:bCs/>
                <w:i/>
                <w:iCs/>
                <w:lang w:val="uk-UA"/>
              </w:rPr>
              <w:t xml:space="preserve">2015; </w:t>
            </w:r>
            <w:r w:rsidRPr="00F74CE8">
              <w:rPr>
                <w:rFonts w:ascii="Times New Roman" w:hAnsi="Times New Roman" w:cs="Times New Roman"/>
                <w:b/>
                <w:lang w:val="uk-UA"/>
              </w:rPr>
              <w:t>45230000-8: Будівництво трубопроводів, ліній зв’язку та електрпередач, шосе, доріг, аеродромів і залізничних доріг; вирівнювання поверхонь</w:t>
            </w:r>
            <w:r>
              <w:rPr>
                <w:b/>
                <w:bCs/>
                <w:i/>
                <w:iCs/>
                <w:lang w:val="uk-UA"/>
              </w:rPr>
              <w:t>)</w:t>
            </w: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A47DA1"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процедура закупівлі:</w:t>
      </w:r>
    </w:p>
    <w:p w:rsidR="0043141A" w:rsidRPr="00667C43"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Відкриті торги</w:t>
      </w:r>
      <w:r>
        <w:rPr>
          <w:rFonts w:ascii="Times New Roman" w:hAnsi="Times New Roman"/>
          <w:b/>
          <w:bCs/>
          <w:sz w:val="28"/>
        </w:rPr>
        <w:t xml:space="preserve"> з особливостями</w:t>
      </w:r>
    </w:p>
    <w:p w:rsidR="0043141A" w:rsidRPr="00667C43" w:rsidRDefault="0043141A" w:rsidP="0043141A">
      <w:pPr>
        <w:widowControl w:val="0"/>
        <w:shd w:val="clear" w:color="auto" w:fill="FFFFFF" w:themeFill="background1"/>
        <w:autoSpaceDE w:val="0"/>
        <w:autoSpaceDN w:val="0"/>
        <w:adjustRightInd w:val="0"/>
        <w:jc w:val="center"/>
        <w:rPr>
          <w:rFonts w:ascii="Times New Roman" w:hAnsi="Times New Roman"/>
          <w:b/>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w:t>
            </w:r>
            <w:r w:rsidR="003A7C8F">
              <w:rPr>
                <w:rFonts w:ascii="Times New Roman" w:eastAsia="Lucida Sans Unicode" w:hAnsi="Times New Roman"/>
                <w:kern w:val="2"/>
                <w:sz w:val="24"/>
                <w:szCs w:val="24"/>
                <w:lang w:val="ru-RU"/>
              </w:rPr>
              <w:t>фахівець з публічних закупівель</w:t>
            </w:r>
            <w:r w:rsidRPr="00FD741A">
              <w:rPr>
                <w:rFonts w:ascii="Times New Roman" w:eastAsia="Lucida Sans Unicode" w:hAnsi="Times New Roman"/>
                <w:kern w:val="2"/>
                <w:sz w:val="24"/>
                <w:szCs w:val="24"/>
                <w:lang w:val="ru-RU"/>
              </w:rPr>
              <w:t xml:space="preserve"> Губарець Катерина Віталіївна</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43141A" w:rsidRPr="00395350" w:rsidRDefault="00395350" w:rsidP="00395350">
            <w:pPr>
              <w:pStyle w:val="a4"/>
              <w:widowControl/>
              <w:numPr>
                <w:ilvl w:val="5"/>
                <w:numId w:val="2"/>
              </w:numPr>
              <w:autoSpaceDE/>
              <w:spacing w:after="0"/>
              <w:ind w:left="59" w:firstLine="0"/>
              <w:jc w:val="both"/>
              <w:outlineLvl w:val="5"/>
              <w:rPr>
                <w:rFonts w:ascii="Times New Roman" w:hAnsi="Times New Roman" w:cs="Times New Roman"/>
                <w:b/>
                <w:bCs/>
                <w:lang w:val="uk-UA"/>
              </w:rPr>
            </w:pPr>
            <w:r w:rsidRPr="003803D6">
              <w:rPr>
                <w:b/>
                <w:bCs/>
                <w:i/>
                <w:iCs/>
                <w:lang w:val="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Музейна, м. Коростень, Житомирської області)</w:t>
            </w: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FD741A" w:rsidRDefault="0043141A" w:rsidP="002E3C10">
            <w:pPr>
              <w:pStyle w:val="a6"/>
              <w:spacing w:before="0" w:beforeAutospacing="0" w:after="0" w:afterAutospacing="0"/>
              <w:jc w:val="both"/>
              <w:rPr>
                <w:color w:val="00000A"/>
                <w:shd w:val="clear" w:color="auto" w:fill="FFFFFF"/>
                <w:lang w:eastAsia="zh-CN"/>
              </w:rPr>
            </w:pPr>
            <w:r w:rsidRPr="00FD741A">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43141A" w:rsidRPr="00FD741A" w:rsidRDefault="00395350" w:rsidP="002E3C1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послуга</w:t>
            </w: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D741A">
              <w:rPr>
                <w:rFonts w:ascii="Times New Roman" w:hAnsi="Times New Roman"/>
                <w:sz w:val="24"/>
                <w:szCs w:val="24"/>
                <w:lang w:eastAsia="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w:t>
            </w:r>
            <w:r w:rsidRPr="00FD741A">
              <w:rPr>
                <w:rFonts w:ascii="Times New Roman" w:hAnsi="Times New Roman"/>
                <w:sz w:val="24"/>
                <w:szCs w:val="24"/>
              </w:rPr>
              <w:lastRenderedPageBreak/>
              <w:t>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lastRenderedPageBreak/>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395350" w:rsidRDefault="0043141A" w:rsidP="00395350">
            <w:pPr>
              <w:tabs>
                <w:tab w:val="left" w:pos="0"/>
                <w:tab w:val="left" w:pos="709"/>
              </w:tabs>
              <w:spacing w:after="0" w:line="240" w:lineRule="auto"/>
              <w:contextualSpacing/>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p>
          <w:p w:rsidR="00395350" w:rsidRPr="008C75D8" w:rsidRDefault="00395350" w:rsidP="00395350">
            <w:pPr>
              <w:tabs>
                <w:tab w:val="left" w:pos="0"/>
                <w:tab w:val="left" w:pos="709"/>
              </w:tabs>
              <w:spacing w:after="0" w:line="240" w:lineRule="auto"/>
              <w:contextualSpacing/>
              <w:jc w:val="both"/>
              <w:rPr>
                <w:rFonts w:ascii="Times New Roman" w:eastAsiaTheme="minorHAnsi" w:hAnsi="Times New Roman"/>
                <w:spacing w:val="-6"/>
                <w:sz w:val="24"/>
                <w:szCs w:val="24"/>
                <w:highlight w:val="cyan"/>
              </w:rPr>
            </w:pPr>
            <w:r>
              <w:rPr>
                <w:rFonts w:ascii="Times New Roman" w:hAnsi="Times New Roman"/>
                <w:sz w:val="23"/>
                <w:szCs w:val="23"/>
                <w:shd w:val="clear" w:color="auto" w:fill="FFFFFF"/>
              </w:rPr>
              <w:t xml:space="preserve">     </w:t>
            </w:r>
            <w:r w:rsidRPr="008C75D8">
              <w:rPr>
                <w:rFonts w:ascii="Times New Roman" w:eastAsia="Times New Roman" w:hAnsi="Times New Roman"/>
                <w:spacing w:val="-6"/>
                <w:sz w:val="24"/>
                <w:szCs w:val="24"/>
                <w:highlight w:val="cyan"/>
              </w:rPr>
              <w:t>довідку в довільній формі, що містить відомості стосовно виконання аналогічних договорів, Замовникам (державним, бюджетним або комунальним установам</w:t>
            </w:r>
            <w:r>
              <w:rPr>
                <w:rFonts w:ascii="Times New Roman" w:eastAsia="Times New Roman" w:hAnsi="Times New Roman"/>
                <w:spacing w:val="-6"/>
                <w:sz w:val="24"/>
                <w:szCs w:val="24"/>
                <w:highlight w:val="cyan"/>
              </w:rPr>
              <w:t>, які є власники або балансоутримувачі доріг</w:t>
            </w:r>
            <w:r w:rsidRPr="008C75D8">
              <w:rPr>
                <w:rFonts w:ascii="Times New Roman" w:eastAsia="Times New Roman" w:hAnsi="Times New Roman"/>
                <w:spacing w:val="-6"/>
                <w:sz w:val="24"/>
                <w:szCs w:val="24"/>
                <w:highlight w:val="cyan"/>
              </w:rPr>
              <w:t>), інформація щодо укладених договорів у кількості не менш двох з зазначенням робіт/ послуг згідно предмету закупівлі, а саме  ремонту асфальтобетонного покриття, з виконаними об’ємами,  скан копії договорів та додаткових угод до них (у разі наявності змін умов договору), кошторисних документів (належним чином  підписані, завірені  та листи відгуки).</w:t>
            </w:r>
          </w:p>
          <w:p w:rsidR="00395350" w:rsidRPr="008C75D8" w:rsidRDefault="00395350" w:rsidP="00395350">
            <w:pPr>
              <w:suppressAutoHyphens/>
              <w:spacing w:after="0" w:line="240" w:lineRule="atLeast"/>
              <w:ind w:right="113" w:firstLine="373"/>
              <w:jc w:val="both"/>
              <w:rPr>
                <w:rFonts w:ascii="Times New Roman" w:eastAsia="Times New Roman" w:hAnsi="Times New Roman"/>
                <w:spacing w:val="-6"/>
                <w:sz w:val="24"/>
                <w:szCs w:val="24"/>
                <w:highlight w:val="cyan"/>
              </w:rPr>
            </w:pPr>
            <w:r w:rsidRPr="008C75D8">
              <w:rPr>
                <w:rFonts w:ascii="Times New Roman" w:eastAsia="Times New Roman" w:hAnsi="Times New Roman"/>
                <w:sz w:val="24"/>
                <w:szCs w:val="24"/>
                <w:highlight w:val="cyan"/>
              </w:rPr>
              <w:t>«</w:t>
            </w:r>
            <w:r w:rsidRPr="008C75D8">
              <w:rPr>
                <w:rFonts w:ascii="Times New Roman" w:eastAsia="Times New Roman" w:hAnsi="Times New Roman"/>
                <w:spacing w:val="-6"/>
                <w:sz w:val="24"/>
                <w:szCs w:val="24"/>
                <w:highlight w:val="cyan"/>
              </w:rPr>
              <w:t>Наявність  обладнання та матеріально-технічної бази»</w:t>
            </w:r>
            <w:r w:rsidRPr="008C75D8">
              <w:rPr>
                <w:rFonts w:ascii="Times New Roman" w:eastAsia="Times New Roman" w:hAnsi="Times New Roman"/>
                <w:sz w:val="24"/>
                <w:szCs w:val="24"/>
                <w:highlight w:val="cyan"/>
              </w:rPr>
              <w:t xml:space="preserve"> у вигляді довідки в довільній формі. На підтвердження інформації зазначеної в довідці, Учасник надає підтвердження права власності, оренди.</w:t>
            </w:r>
          </w:p>
          <w:p w:rsidR="00395350" w:rsidRDefault="00395350" w:rsidP="00395350">
            <w:pPr>
              <w:suppressAutoHyphens/>
              <w:spacing w:after="0" w:line="240" w:lineRule="atLeast"/>
              <w:ind w:right="113" w:firstLine="373"/>
              <w:jc w:val="both"/>
              <w:rPr>
                <w:rFonts w:ascii="Times New Roman" w:eastAsia="Times New Roman" w:hAnsi="Times New Roman"/>
                <w:spacing w:val="-6"/>
                <w:sz w:val="24"/>
                <w:szCs w:val="24"/>
              </w:rPr>
            </w:pPr>
            <w:r w:rsidRPr="008C75D8">
              <w:rPr>
                <w:rFonts w:ascii="Times New Roman" w:eastAsia="Times New Roman" w:hAnsi="Times New Roman"/>
                <w:sz w:val="24"/>
                <w:szCs w:val="24"/>
                <w:highlight w:val="cyan"/>
              </w:rPr>
              <w:t>«</w:t>
            </w:r>
            <w:r w:rsidRPr="008C75D8">
              <w:rPr>
                <w:rFonts w:ascii="Times New Roman" w:eastAsia="Times New Roman" w:hAnsi="Times New Roman"/>
                <w:spacing w:val="-6"/>
                <w:sz w:val="24"/>
                <w:szCs w:val="24"/>
                <w:highlight w:val="cyan"/>
              </w:rPr>
              <w:t>Наявність  працівників відповідної кваліфікації, які мають необхідні знання та досвід»</w:t>
            </w:r>
            <w:r w:rsidRPr="008C75D8">
              <w:rPr>
                <w:rFonts w:ascii="Times New Roman" w:eastAsia="Times New Roman" w:hAnsi="Times New Roman"/>
                <w:sz w:val="24"/>
                <w:szCs w:val="24"/>
                <w:highlight w:val="cyan"/>
              </w:rPr>
              <w:t xml:space="preserve"> у вигляді довідки в довільній формі. На підтвердження інформації зазначеної в довідці, Учасник надає підтвердження трудових відносин копії наказів, трудових договорів, договорів ЦПХ</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FD741A">
              <w:rPr>
                <w:rFonts w:ascii="Times New Roman" w:eastAsia="Times New Roman" w:hAnsi="Times New Roman"/>
                <w:sz w:val="24"/>
                <w:szCs w:val="24"/>
                <w:lang w:eastAsia="ru-RU"/>
              </w:rPr>
              <w:lastRenderedPageBreak/>
              <w:t>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lastRenderedPageBreak/>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lastRenderedPageBreak/>
              <w:t xml:space="preserve">Учасник у складі тендерної пропозиції надає інформацію про повне найменування та місцезнаходження щодо кожного суб’єкта </w:t>
            </w:r>
            <w:r w:rsidRPr="00FD741A">
              <w:rPr>
                <w:lang w:val="uk-UA"/>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003A7C8F">
              <w:rPr>
                <w:rFonts w:ascii="Times New Roman" w:eastAsia="Times New Roman" w:hAnsi="Times New Roman"/>
                <w:b/>
                <w:sz w:val="24"/>
                <w:szCs w:val="24"/>
                <w:lang w:eastAsia="uk-UA"/>
              </w:rPr>
              <w:t>до 00 год. 00 хв.  24.05.2023 року</w:t>
            </w:r>
            <w:bookmarkStart w:id="0" w:name="_GoBack"/>
            <w:bookmarkEnd w:id="0"/>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w:t>
            </w:r>
            <w:r w:rsidRPr="00FD741A">
              <w:rPr>
                <w:rFonts w:ascii="Times New Roman" w:eastAsia="Times New Roman" w:hAnsi="Times New Roman"/>
                <w:sz w:val="24"/>
                <w:szCs w:val="24"/>
                <w:lang w:eastAsia="uk-UA"/>
              </w:rPr>
              <w:lastRenderedPageBreak/>
              <w:t>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FD741A">
              <w:rPr>
                <w:rFonts w:ascii="Times New Roman" w:hAnsi="Times New Roman"/>
                <w:bCs/>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w:t>
            </w:r>
            <w:r w:rsidRPr="00FD741A">
              <w:rPr>
                <w:rFonts w:ascii="Times New Roman" w:eastAsia="Times New Roman" w:hAnsi="Times New Roman"/>
                <w:color w:val="000000"/>
                <w:sz w:val="24"/>
                <w:szCs w:val="24"/>
                <w:lang w:eastAsia="ru-RU"/>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r w:rsidRPr="00FD741A">
              <w:rPr>
                <w:rFonts w:ascii="Times New Roman" w:eastAsia="Times New Roman" w:hAnsi="Times New Roman"/>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пункту 39 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не надав обґрунтування аномально низької ціни тендерної пропозиції протягом строку, визначеного </w:t>
            </w:r>
            <w:hyperlink r:id="rId8" w:anchor="n318" w:history="1">
              <w:r w:rsidRPr="00FD741A">
                <w:rPr>
                  <w:rFonts w:ascii="Times New Roman" w:eastAsia="Times New Roman" w:hAnsi="Times New Roman"/>
                  <w:sz w:val="24"/>
                  <w:szCs w:val="24"/>
                  <w:u w:val="single"/>
                  <w:lang w:val="ru-RU" w:eastAsia="ru-RU"/>
                </w:rPr>
                <w:t>абзацом п’ятим</w:t>
              </w:r>
            </w:hyperlink>
            <w:r w:rsidRPr="00FD741A">
              <w:rPr>
                <w:rFonts w:ascii="Times New Roman" w:eastAsia="Times New Roman" w:hAnsi="Times New Roman"/>
                <w:sz w:val="24"/>
                <w:szCs w:val="24"/>
                <w:lang w:val="ru-RU" w:eastAsia="ru-RU"/>
              </w:rPr>
              <w:t> пункту 38 цих 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r w:rsidRPr="00FD741A">
              <w:rPr>
                <w:rFonts w:ascii="Times New Roman" w:eastAsia="Times New Roman" w:hAnsi="Times New Roman"/>
                <w:sz w:val="24"/>
                <w:szCs w:val="24"/>
                <w:lang w:val="ru-RU" w:eastAsia="ru-RU"/>
              </w:rPr>
              <w:t>визначив конфіденційною інформацію, що не може бути визначена як конфіденційна відповідно до вимог </w:t>
            </w:r>
            <w:hyperlink r:id="rId9"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пункту 36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r w:rsidRPr="00FD741A">
              <w:rPr>
                <w:rFonts w:ascii="Times New Roman" w:eastAsia="Times New Roman" w:hAnsi="Times New Roman"/>
                <w:sz w:val="24"/>
                <w:szCs w:val="24"/>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FD741A">
              <w:rPr>
                <w:rFonts w:ascii="Times New Roman" w:eastAsia="Times New Roman" w:hAnsi="Times New Roman"/>
                <w:sz w:val="24"/>
                <w:szCs w:val="24"/>
                <w:lang w:val="ru-RU" w:eastAsia="ru-RU"/>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395350"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39535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395350">
              <w:rPr>
                <w:rFonts w:ascii="Times New Roman" w:eastAsia="Times New Roman" w:hAnsi="Times New Roman"/>
                <w:sz w:val="24"/>
                <w:szCs w:val="24"/>
                <w:lang w:eastAsia="ru-RU"/>
              </w:rPr>
              <w:t>є такою, строк дії якої закінчився;</w:t>
            </w:r>
          </w:p>
          <w:p w:rsidR="0043141A" w:rsidRPr="0039535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39535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не відповідає вимогам, установленим у тендерній документації відповідно до </w:t>
            </w:r>
            <w:hyperlink r:id="rId10" w:anchor="n1422" w:tgtFrame="_blank" w:history="1">
              <w:r w:rsidRPr="00FD741A">
                <w:rPr>
                  <w:rFonts w:ascii="Times New Roman" w:eastAsia="Times New Roman" w:hAnsi="Times New Roman"/>
                  <w:sz w:val="24"/>
                  <w:szCs w:val="24"/>
                  <w:u w:val="single"/>
                  <w:lang w:val="ru-RU" w:eastAsia="ru-RU"/>
                </w:rPr>
                <w:t>абзацу першого</w:t>
              </w:r>
            </w:hyperlink>
            <w:r w:rsidRPr="00FD741A">
              <w:rPr>
                <w:rFonts w:ascii="Times New Roman" w:eastAsia="Times New Roman" w:hAnsi="Times New Roman"/>
                <w:sz w:val="24"/>
                <w:szCs w:val="24"/>
                <w:lang w:val="ru-RU" w:eastAsia="ru-RU"/>
              </w:rPr>
              <w:t> частини третьої статті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3) переможець процедури закупівлі:</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r w:rsidRPr="00FD741A">
              <w:rPr>
                <w:rFonts w:ascii="Times New Roman" w:eastAsia="Times New Roman"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не надав копію ліцензії або документа дозвільного характеру (у разі їх наявності) відповідно до </w:t>
            </w:r>
            <w:hyperlink r:id="rId11" w:anchor="n1762" w:tgtFrame="_blank" w:history="1">
              <w:r w:rsidRPr="00FD741A">
                <w:rPr>
                  <w:rFonts w:ascii="Times New Roman" w:eastAsia="Times New Roman" w:hAnsi="Times New Roman"/>
                  <w:sz w:val="24"/>
                  <w:szCs w:val="24"/>
                  <w:u w:val="single"/>
                  <w:lang w:val="ru-RU" w:eastAsia="ru-RU"/>
                </w:rPr>
                <w:t>частини другої</w:t>
              </w:r>
            </w:hyperlink>
            <w:r w:rsidRPr="00FD741A">
              <w:rPr>
                <w:rFonts w:ascii="Times New Roman" w:eastAsia="Times New Roman" w:hAnsi="Times New Roman"/>
                <w:sz w:val="24"/>
                <w:szCs w:val="24"/>
                <w:lang w:val="ru-RU" w:eastAsia="ru-RU"/>
              </w:rPr>
              <w:t> статті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r w:rsidRPr="00FD741A">
              <w:rPr>
                <w:rFonts w:ascii="Times New Roman" w:eastAsia="Times New Roman" w:hAnsi="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пункту 39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{Абзац шостий підпункту 3 пункту 41 із змінами, внесеними згідно з Постановою КМ </w:t>
            </w:r>
            <w:hyperlink r:id="rId13" w:anchor="n80" w:tgtFrame="_blank" w:history="1">
              <w:r w:rsidRPr="00FD741A">
                <w:rPr>
                  <w:rFonts w:ascii="Times New Roman" w:eastAsia="Times New Roman" w:hAnsi="Times New Roman"/>
                  <w:i/>
                  <w:iCs/>
                  <w:sz w:val="24"/>
                  <w:szCs w:val="24"/>
                  <w:u w:val="single"/>
                  <w:lang w:val="ru-RU" w:eastAsia="ru-RU"/>
                </w:rPr>
                <w:t>№ 1495 від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lastRenderedPageBreak/>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43141A" w:rsidRPr="00FD741A" w:rsidRDefault="0043141A" w:rsidP="002E3C10">
            <w:pPr>
              <w:pStyle w:val="Default"/>
              <w:ind w:firstLine="460"/>
              <w:jc w:val="both"/>
            </w:pPr>
            <w:r w:rsidRPr="00FD741A">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3. Проєкт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 xml:space="preserve">Проєкт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Проєкт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lastRenderedPageBreak/>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D741A">
              <w:rPr>
                <w:lang w:val="uk-UA"/>
              </w:rPr>
              <w:lastRenderedPageBreak/>
              <w:t>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FB" w:rsidRDefault="00D30185">
      <w:pPr>
        <w:spacing w:after="0" w:line="240" w:lineRule="auto"/>
      </w:pPr>
      <w:r>
        <w:separator/>
      </w:r>
    </w:p>
  </w:endnote>
  <w:endnote w:type="continuationSeparator" w:id="0">
    <w:p w:rsidR="007F0CFB" w:rsidRDefault="00D3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FB" w:rsidRDefault="00D30185">
      <w:pPr>
        <w:spacing w:after="0" w:line="240" w:lineRule="auto"/>
      </w:pPr>
      <w:r>
        <w:separator/>
      </w:r>
    </w:p>
  </w:footnote>
  <w:footnote w:type="continuationSeparator" w:id="0">
    <w:p w:rsidR="007F0CFB" w:rsidRDefault="00D3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65566E">
        <w:pPr>
          <w:pStyle w:val="a8"/>
          <w:jc w:val="center"/>
        </w:pPr>
        <w:r>
          <w:fldChar w:fldCharType="begin"/>
        </w:r>
        <w:r>
          <w:instrText>PAGE   \* MERGEFORMAT</w:instrText>
        </w:r>
        <w:r>
          <w:fldChar w:fldCharType="separate"/>
        </w:r>
        <w:r w:rsidR="003A7C8F" w:rsidRPr="003A7C8F">
          <w:rPr>
            <w:noProof/>
            <w:lang w:val="ru-RU"/>
          </w:rPr>
          <w:t>10</w:t>
        </w:r>
        <w:r>
          <w:fldChar w:fldCharType="end"/>
        </w:r>
      </w:p>
    </w:sdtContent>
  </w:sdt>
  <w:p w:rsidR="00122CD8" w:rsidRDefault="003A7C8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350"/>
    <w:rsid w:val="00395F70"/>
    <w:rsid w:val="0039683C"/>
    <w:rsid w:val="0039733D"/>
    <w:rsid w:val="003A0364"/>
    <w:rsid w:val="003A241B"/>
    <w:rsid w:val="003A2BF8"/>
    <w:rsid w:val="003A525A"/>
    <w:rsid w:val="003A5BD9"/>
    <w:rsid w:val="003A5EC1"/>
    <w:rsid w:val="003A6BA2"/>
    <w:rsid w:val="003A7C8F"/>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0CFB"/>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0185"/>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4B04"/>
  <w15:docId w15:val="{0F02E0AD-6502-429C-AE14-AAADE4A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a">
    <w:name w:val="Balloon Text"/>
    <w:basedOn w:val="a"/>
    <w:link w:val="ab"/>
    <w:uiPriority w:val="99"/>
    <w:semiHidden/>
    <w:unhideWhenUsed/>
    <w:rsid w:val="003A7C8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7C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103" TargetMode="External"/><Relationship Id="rId13" Type="http://schemas.openxmlformats.org/officeDocument/2006/relationships/hyperlink" Target="https://zakon.rada.gov.ua/laws/show/1495-2022-%D0%BF" TargetMode="External"/><Relationship Id="rId3" Type="http://schemas.openxmlformats.org/officeDocument/2006/relationships/settings" Target="settings.xml"/><Relationship Id="rId7" Type="http://schemas.openxmlformats.org/officeDocument/2006/relationships/hyperlink" Target="https://zakon.rada.gov.ua/laws/show/1178-2022-%D0%BF/ed20230103" TargetMode="External"/><Relationship Id="rId12" Type="http://schemas.openxmlformats.org/officeDocument/2006/relationships/hyperlink" Target="https://zakon.rada.gov.ua/laws/show/1178-2022-%D0%BF/ed202301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1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2023-05-16T20:13:00Z</cp:lastPrinted>
  <dcterms:created xsi:type="dcterms:W3CDTF">2023-05-16T20:13:00Z</dcterms:created>
  <dcterms:modified xsi:type="dcterms:W3CDTF">2023-05-16T20:13:00Z</dcterms:modified>
</cp:coreProperties>
</file>