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7920"/>
        <w:contextualSpacing/>
        <w:jc w:val="right"/>
        <w:rPr>
          <w:rFonts w:ascii="Times New Roman" w:hAnsi="Times New Roman"/>
          <w:sz w:val="24"/>
          <w:szCs w:val="24"/>
          <w:lang w:val="uk-UA" w:eastAsia="ru-RU"/>
        </w:rPr>
      </w:pPr>
      <w:r>
        <w:rPr>
          <w:rFonts w:ascii="Times New Roman" w:hAnsi="Times New Roman"/>
          <w:b/>
          <w:bCs/>
          <w:color w:val="000000"/>
          <w:sz w:val="24"/>
          <w:szCs w:val="24"/>
          <w:lang w:val="uk-UA" w:eastAsia="ru-RU"/>
        </w:rPr>
        <w:t xml:space="preserve"> Додаток 2</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 xml:space="preserve">до тендерної документації </w:t>
      </w:r>
    </w:p>
    <w:p>
      <w:pPr>
        <w:spacing w:after="0" w:line="240" w:lineRule="auto"/>
        <w:ind w:left="2880"/>
        <w:contextualSpacing/>
        <w:jc w:val="right"/>
        <w:rPr>
          <w:rFonts w:ascii="Times New Roman" w:hAnsi="Times New Roman"/>
          <w:i/>
          <w:iCs/>
          <w:color w:val="000000"/>
          <w:sz w:val="24"/>
          <w:szCs w:val="24"/>
          <w:lang w:val="uk-UA" w:eastAsia="ru-RU"/>
        </w:rPr>
      </w:pPr>
      <w:r>
        <w:rPr>
          <w:rFonts w:ascii="Times New Roman" w:hAnsi="Times New Roman"/>
          <w:i/>
          <w:iCs/>
          <w:color w:val="000000"/>
          <w:sz w:val="24"/>
          <w:szCs w:val="24"/>
          <w:lang w:val="uk-UA" w:eastAsia="ru-RU"/>
        </w:rPr>
        <w:t>33600000-6</w:t>
      </w:r>
    </w:p>
    <w:p>
      <w:pPr>
        <w:spacing w:after="0" w:line="240" w:lineRule="auto"/>
        <w:ind w:left="2880"/>
        <w:contextualSpacing/>
        <w:jc w:val="right"/>
        <w:rPr>
          <w:rFonts w:ascii="Times New Roman" w:hAnsi="Times New Roman"/>
          <w:i/>
          <w:iCs/>
          <w:color w:val="000000"/>
          <w:sz w:val="24"/>
          <w:szCs w:val="24"/>
          <w:shd w:val="clear" w:color="auto" w:fill="FFFFFF"/>
          <w:lang w:val="uk-UA" w:eastAsia="ru-RU"/>
        </w:rPr>
      </w:pPr>
      <w:r>
        <w:rPr>
          <w:rFonts w:ascii="Times New Roman" w:hAnsi="Times New Roman"/>
          <w:i/>
          <w:iCs/>
          <w:color w:val="000000"/>
          <w:sz w:val="24"/>
          <w:szCs w:val="24"/>
          <w:lang w:val="uk-UA" w:eastAsia="ru-RU"/>
        </w:rPr>
        <w:t>Фармацевтична продукція: Лікарські засоби різні</w:t>
      </w:r>
    </w:p>
    <w:p>
      <w:pPr>
        <w:tabs>
          <w:tab w:val="left" w:pos="142"/>
        </w:tabs>
        <w:spacing w:after="0" w:line="240" w:lineRule="auto"/>
        <w:jc w:val="both"/>
        <w:rPr>
          <w:rFonts w:ascii="Times New Roman" w:hAnsi="Times New Roman"/>
          <w:b/>
          <w:sz w:val="24"/>
          <w:szCs w:val="24"/>
          <w:lang w:val="uk-UA" w:eastAsia="ru-RU"/>
        </w:rPr>
      </w:pPr>
    </w:p>
    <w:p>
      <w:pPr>
        <w:spacing w:after="0" w:line="240" w:lineRule="auto"/>
        <w:jc w:val="center"/>
        <w:rPr>
          <w:rFonts w:ascii="Times New Roman" w:hAnsi="Times New Roman"/>
          <w:b/>
          <w:bCs/>
          <w:i/>
          <w:iCs/>
          <w:sz w:val="24"/>
          <w:szCs w:val="24"/>
          <w:lang w:val="uk-UA" w:eastAsia="ru-RU"/>
        </w:rPr>
      </w:pPr>
      <w:r>
        <w:rPr>
          <w:rFonts w:ascii="Times New Roman" w:hAnsi="Times New Roman"/>
          <w:b/>
          <w:bCs/>
          <w:i/>
          <w:iCs/>
          <w:sz w:val="24"/>
          <w:szCs w:val="24"/>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ascii="Times New Roman" w:hAnsi="Times New Roman"/>
          <w:b/>
          <w:bCs/>
          <w:i/>
          <w:iCs/>
          <w:sz w:val="24"/>
          <w:szCs w:val="24"/>
          <w:lang w:val="uk-UA" w:eastAsia="ru-RU"/>
        </w:rPr>
      </w:pPr>
      <w:r>
        <w:rPr>
          <w:rFonts w:hint="default" w:ascii="Times New Roman" w:hAnsi="Times New Roman"/>
          <w:b/>
          <w:bCs/>
          <w:i/>
          <w:iCs/>
          <w:sz w:val="24"/>
          <w:szCs w:val="24"/>
          <w:lang w:val="uk-UA" w:eastAsia="ru-RU"/>
        </w:rPr>
        <w:t>ТЕХНІЧНА СПЕЦИФІКАЦІЯ</w:t>
      </w:r>
    </w:p>
    <w:tbl>
      <w:tblPr>
        <w:tblStyle w:val="3"/>
        <w:tblpPr w:leftFromText="180" w:rightFromText="180" w:vertAnchor="text" w:horzAnchor="page" w:tblpX="876" w:tblpY="1179"/>
        <w:tblW w:w="10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214"/>
        <w:gridCol w:w="1793"/>
        <w:gridCol w:w="893"/>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67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4"/>
                <w:szCs w:val="24"/>
              </w:rPr>
            </w:pPr>
            <w:r>
              <w:rPr>
                <w:rFonts w:hint="default" w:ascii="Times New Roman" w:hAnsi="Times New Roman" w:cs="Times New Roman"/>
                <w:b w:val="0"/>
                <w:bCs w:val="0"/>
                <w:iCs/>
                <w:sz w:val="24"/>
                <w:szCs w:val="24"/>
                <w:lang w:val="ru-RU"/>
              </w:rPr>
              <w:t xml:space="preserve">                </w:t>
            </w:r>
            <w:r>
              <w:rPr>
                <w:rFonts w:hint="default" w:ascii="Times New Roman" w:hAnsi="Times New Roman" w:cs="Times New Roman"/>
                <w:b w:val="0"/>
                <w:bCs w:val="0"/>
                <w:iCs/>
                <w:sz w:val="24"/>
                <w:szCs w:val="24"/>
              </w:rPr>
              <w:t>№ п/п</w:t>
            </w:r>
          </w:p>
        </w:tc>
        <w:tc>
          <w:tcPr>
            <w:tcW w:w="6214"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4"/>
                <w:szCs w:val="24"/>
              </w:rPr>
            </w:pPr>
            <w:r>
              <w:rPr>
                <w:rFonts w:hint="default" w:ascii="Times New Roman" w:hAnsi="Times New Roman" w:cs="Times New Roman"/>
                <w:b w:val="0"/>
                <w:bCs w:val="0"/>
                <w:iCs/>
                <w:sz w:val="24"/>
                <w:szCs w:val="24"/>
              </w:rPr>
              <w:t xml:space="preserve">Найменування товару </w:t>
            </w:r>
          </w:p>
        </w:tc>
        <w:tc>
          <w:tcPr>
            <w:tcW w:w="17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4"/>
                <w:szCs w:val="24"/>
              </w:rPr>
            </w:pPr>
            <w:r>
              <w:rPr>
                <w:rFonts w:hint="default" w:ascii="Times New Roman" w:hAnsi="Times New Roman" w:cs="Times New Roman"/>
                <w:b w:val="0"/>
                <w:bCs w:val="0"/>
                <w:iCs/>
                <w:sz w:val="24"/>
                <w:szCs w:val="24"/>
              </w:rPr>
              <w:t>МНН</w:t>
            </w:r>
          </w:p>
        </w:tc>
        <w:tc>
          <w:tcPr>
            <w:tcW w:w="893"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4"/>
                <w:szCs w:val="24"/>
                <w:lang w:val="uk-UA"/>
              </w:rPr>
            </w:pPr>
            <w:r>
              <w:rPr>
                <w:rFonts w:hint="default" w:ascii="Times New Roman" w:hAnsi="Times New Roman" w:cs="Times New Roman"/>
                <w:b w:val="0"/>
                <w:bCs w:val="0"/>
                <w:iCs/>
                <w:sz w:val="24"/>
                <w:szCs w:val="24"/>
                <w:lang w:val="uk-UA"/>
              </w:rPr>
              <w:t xml:space="preserve">Од. </w:t>
            </w:r>
          </w:p>
          <w:p>
            <w:pPr>
              <w:shd w:val="clear" w:color="auto" w:fill="FFFFFF"/>
              <w:tabs>
                <w:tab w:val="left" w:pos="10381"/>
              </w:tabs>
              <w:snapToGrid w:val="0"/>
              <w:jc w:val="center"/>
              <w:rPr>
                <w:rFonts w:hint="default" w:ascii="Times New Roman" w:hAnsi="Times New Roman" w:cs="Times New Roman"/>
                <w:b w:val="0"/>
                <w:bCs w:val="0"/>
                <w:iCs/>
                <w:sz w:val="24"/>
                <w:szCs w:val="24"/>
                <w:lang w:val="uk-UA"/>
              </w:rPr>
            </w:pPr>
            <w:r>
              <w:rPr>
                <w:rFonts w:hint="default" w:ascii="Times New Roman" w:hAnsi="Times New Roman" w:cs="Times New Roman"/>
                <w:b w:val="0"/>
                <w:bCs w:val="0"/>
                <w:iCs/>
                <w:sz w:val="24"/>
                <w:szCs w:val="24"/>
                <w:lang w:val="uk-UA"/>
              </w:rPr>
              <w:t>вим.</w:t>
            </w:r>
          </w:p>
        </w:tc>
        <w:tc>
          <w:tcPr>
            <w:tcW w:w="1077" w:type="dxa"/>
            <w:tcBorders>
              <w:top w:val="single" w:color="auto" w:sz="4" w:space="0"/>
              <w:left w:val="single" w:color="auto" w:sz="4" w:space="0"/>
              <w:bottom w:val="single" w:color="auto" w:sz="4" w:space="0"/>
              <w:right w:val="single" w:color="auto" w:sz="4" w:space="0"/>
            </w:tcBorders>
          </w:tcPr>
          <w:p>
            <w:pPr>
              <w:shd w:val="clear" w:color="auto" w:fill="FFFFFF"/>
              <w:tabs>
                <w:tab w:val="left" w:pos="10381"/>
              </w:tabs>
              <w:snapToGrid w:val="0"/>
              <w:jc w:val="center"/>
              <w:rPr>
                <w:rFonts w:hint="default" w:ascii="Times New Roman" w:hAnsi="Times New Roman" w:cs="Times New Roman"/>
                <w:b w:val="0"/>
                <w:bCs w:val="0"/>
                <w:iCs/>
                <w:sz w:val="24"/>
                <w:szCs w:val="24"/>
              </w:rPr>
            </w:pPr>
            <w:r>
              <w:rPr>
                <w:rFonts w:hint="default" w:ascii="Times New Roman" w:hAnsi="Times New Roman" w:cs="Times New Roman"/>
                <w:b w:val="0"/>
                <w:bCs w:val="0"/>
                <w:iCs/>
                <w:sz w:val="24"/>
                <w:szCs w:val="24"/>
              </w:rPr>
              <w:t>К-сть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АЗАПІН. Таблетки по 25 мг № 50 (10х5) у блістерах</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iCs/>
                <w:sz w:val="24"/>
                <w:szCs w:val="24"/>
              </w:rPr>
            </w:pPr>
            <w:r>
              <w:rPr>
                <w:rFonts w:ascii="Times New Roman" w:hAnsi="Times New Roman"/>
                <w:bCs/>
                <w:color w:val="000000"/>
                <w:sz w:val="20"/>
                <w:szCs w:val="20"/>
              </w:rPr>
              <w:t>Clozapine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АМІНАЗИН-ЗДОРОВ'Я. таблетки, вкриті плівковою оболонкою, по 25 мг, по 20 таблеток у блістері; по 1 блістеру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iCs/>
                <w:sz w:val="24"/>
                <w:szCs w:val="24"/>
              </w:rPr>
            </w:pPr>
            <w:r>
              <w:rPr>
                <w:rFonts w:ascii="Times New Roman" w:hAnsi="Times New Roman"/>
                <w:bCs/>
                <w:color w:val="000000"/>
                <w:sz w:val="20"/>
                <w:szCs w:val="20"/>
              </w:rPr>
              <w:t>Chlorpromazine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en-US"/>
              </w:rPr>
            </w:pPr>
            <w:r>
              <w:rPr>
                <w:rFonts w:ascii="Times New Roman" w:hAnsi="Times New Roman"/>
                <w:bCs/>
                <w:color w:val="000000"/>
                <w:sz w:val="20"/>
                <w:szCs w:val="20"/>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АМІТРИПТИЛІНУ ГІДРОХЛОРИД.Таблетки по 25 мг № 50 (10х5) у блістерах</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Amitriptyline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АРІЛЕНТАЛ. Таблетки по 10 мг по 7 таблеток у блістері; по 4 блістери у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Aripiprazole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ВАЛЬПРОКОМ 300 ХРОНО. Таблетки, вкриті плівковою оболонкою, пролонгованої дії по 300 мг № 100 (10х10) у блістерах у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Valproic acid</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highlight w:val="yellow"/>
                <w:lang w:val="uk-UA"/>
              </w:rPr>
            </w:pPr>
            <w:r>
              <w:rPr>
                <w:rFonts w:ascii="Times New Roman" w:hAnsi="Times New Roman"/>
                <w:bCs/>
                <w:color w:val="000000"/>
                <w:sz w:val="20"/>
                <w:szCs w:val="20"/>
              </w:rPr>
              <w:t>ВАЛЬПРОКОМ 500 ХРОНО. таблетки, вкриті плівковою оболонкою, пролонгованої дії по 500 мг; по 10 таблеток у блістері; по 6 блістерів в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rPr>
            </w:pPr>
            <w:r>
              <w:rPr>
                <w:rFonts w:ascii="Times New Roman" w:hAnsi="Times New Roman"/>
                <w:bCs/>
                <w:color w:val="000000"/>
                <w:sz w:val="20"/>
                <w:szCs w:val="20"/>
              </w:rPr>
              <w:t>Valproic acid</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ru-RU"/>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ru-RU"/>
              </w:rPr>
            </w:pPr>
            <w:r>
              <w:rPr>
                <w:rFonts w:ascii="Times New Roman" w:hAnsi="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ГАЛОПРИЛ ФОРТЕ.Таблетки по 5 мг № 50 (10х5) у блістерах в коробці з картону</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Haloperidol</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en-US"/>
              </w:rPr>
            </w:pPr>
            <w:r>
              <w:rPr>
                <w:rFonts w:ascii="Times New Roman" w:hAnsi="Times New Roman"/>
                <w:bCs/>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ДЕПАКІН®. Сироп, 57,64 мг/1 мл по 150 мл у флаконах № 1 з дозуючим пристроєм з пробкою-адаптором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Valproic acid</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ФЛ</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ДЕПАКІН® ЕНТЕРІК 300. Таблетки, вкриті оболонкою, кишковорозчинні по 300 мг № 100* (10х10)</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Valproic acid</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en-US"/>
              </w:rPr>
            </w:pPr>
            <w:r>
              <w:rPr>
                <w:rFonts w:ascii="Times New Roman" w:hAnsi="Times New Roman"/>
                <w:bCs/>
                <w:color w:val="000000"/>
                <w:sz w:val="2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highlight w:val="yellow"/>
              </w:rPr>
            </w:pPr>
            <w:r>
              <w:rPr>
                <w:rFonts w:ascii="Times New Roman" w:hAnsi="Times New Roman"/>
                <w:bCs/>
                <w:color w:val="000000"/>
                <w:sz w:val="20"/>
                <w:szCs w:val="20"/>
                <w:lang w:val="uk-UA"/>
              </w:rPr>
              <w:t>ДЕПАКІН ХРОНО® 500 мг. Таблетки, вкриті оболонкою, пролонгованої дії ділимі, по 500 мг № 30*</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highlight w:val="yellow"/>
                <w:shd w:val="clear" w:color="auto" w:fill="FFFFFF"/>
                <w:lang w:val="en-US"/>
              </w:rPr>
            </w:pPr>
            <w:r>
              <w:rPr>
                <w:rFonts w:ascii="Times New Roman" w:hAnsi="Times New Roman"/>
                <w:bCs/>
                <w:color w:val="000000"/>
                <w:sz w:val="20"/>
                <w:szCs w:val="20"/>
              </w:rPr>
              <w:t>Valproic acid</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highlight w:val="yellow"/>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highlight w:val="yellow"/>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ЗОРЕСАН®. капсули тверді по 50 мг, по 10 капсул у блістері, по 3 блістера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Zonisamide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КВЕТИКСОЛ. Таблетки, вкриті плівковою оболонкою, по 200 мг по 10 таблеток у блістері, по 3 блістери у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Quetiapine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uk-UA"/>
              </w:rPr>
            </w:pPr>
            <w:r>
              <w:rPr>
                <w:rFonts w:ascii="Times New Roman" w:hAnsi="Times New Roman"/>
                <w:bCs/>
                <w:color w:val="000000"/>
                <w:sz w:val="20"/>
                <w:szCs w:val="20"/>
              </w:rPr>
              <w:t>4</w:t>
            </w:r>
            <w:r>
              <w:rPr>
                <w:rFonts w:hint="default" w:ascii="Times New Roman" w:hAnsi="Times New Roman"/>
                <w:bCs/>
                <w:color w:val="000000"/>
                <w:sz w:val="20"/>
                <w:szCs w:val="20"/>
                <w:lang w:val="uk-U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КВЕТИКСОЛ. Таблетки, вкриті плівковою оболонкою, по 100 мг по 10 таблеток у блістері, по 3 блістери у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Quetiapine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highlight w:val="yellow"/>
              </w:rPr>
            </w:pPr>
            <w:r>
              <w:rPr>
                <w:rFonts w:ascii="Times New Roman" w:hAnsi="Times New Roman"/>
                <w:bCs/>
                <w:color w:val="000000"/>
                <w:sz w:val="20"/>
                <w:szCs w:val="20"/>
              </w:rPr>
              <w:t>КВЕТИКСОЛ. Таблетки, вкриті плівковою оболонкою, по 25 мг по 10 таблеток у блістері, по 3 блістери у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highlight w:val="yellow"/>
              </w:rPr>
            </w:pPr>
            <w:r>
              <w:rPr>
                <w:rFonts w:ascii="Times New Roman" w:hAnsi="Times New Roman"/>
                <w:bCs/>
                <w:color w:val="000000"/>
                <w:sz w:val="20"/>
                <w:szCs w:val="20"/>
              </w:rPr>
              <w:t>Quetiapine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color w:val="333333"/>
                <w:sz w:val="24"/>
                <w:szCs w:val="24"/>
                <w:shd w:val="clear" w:color="auto" w:fill="F9F9F9"/>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ЛАНІСТОР. таблетки по 25 мг; по 10 таблеток у блістері; по 6 блістерів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5F6368"/>
                <w:sz w:val="24"/>
                <w:szCs w:val="24"/>
                <w:shd w:val="clear" w:color="auto" w:fill="FFFFFF"/>
                <w:lang w:val="en-US"/>
              </w:rPr>
            </w:pPr>
            <w:r>
              <w:rPr>
                <w:rFonts w:ascii="Times New Roman" w:hAnsi="Times New Roman"/>
                <w:bCs/>
                <w:color w:val="000000"/>
                <w:sz w:val="20"/>
                <w:szCs w:val="20"/>
              </w:rPr>
              <w:t>Lamotrigine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ЛАНІСТОР. таблетки по 50 мг; по 10 таблеток у блістері; по 6 блістерів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5F6368"/>
                <w:sz w:val="24"/>
                <w:szCs w:val="24"/>
                <w:shd w:val="clear" w:color="auto" w:fill="FFFFFF"/>
              </w:rPr>
            </w:pPr>
            <w:r>
              <w:rPr>
                <w:rFonts w:ascii="Times New Roman" w:hAnsi="Times New Roman"/>
                <w:bCs/>
                <w:color w:val="000000"/>
                <w:sz w:val="20"/>
                <w:szCs w:val="20"/>
              </w:rPr>
              <w:t>Lamotrigine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ЛАНІСТОР. таблетки по 100 мг; по 10 таблеток у блістері; по 6 блістерів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Lamotrigine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ЛОГУФЕН®. таблетки, вкриті плівковою оболонкою, по 250 мг по 10 таблеток у блістері, по 6 блістерів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iCs/>
                <w:sz w:val="24"/>
                <w:szCs w:val="24"/>
              </w:rPr>
            </w:pPr>
            <w:r>
              <w:rPr>
                <w:rFonts w:ascii="Times New Roman" w:hAnsi="Times New Roman"/>
                <w:bCs/>
                <w:color w:val="000000"/>
                <w:sz w:val="20"/>
                <w:szCs w:val="20"/>
              </w:rPr>
              <w:t>Le</w:t>
            </w:r>
            <w:bookmarkStart w:id="0" w:name="_GoBack"/>
            <w:bookmarkEnd w:id="0"/>
            <w:r>
              <w:rPr>
                <w:rFonts w:ascii="Times New Roman" w:hAnsi="Times New Roman"/>
                <w:bCs/>
                <w:color w:val="000000"/>
                <w:sz w:val="20"/>
                <w:szCs w:val="20"/>
              </w:rPr>
              <w:t>vetiracetam</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lang w:val="en-US"/>
              </w:rPr>
            </w:pPr>
            <w:r>
              <w:rPr>
                <w:rFonts w:ascii="Times New Roman" w:hAnsi="Times New Roman"/>
                <w:bCs/>
                <w:color w:val="000000"/>
                <w:sz w:val="20"/>
                <w:szCs w:val="20"/>
              </w:rPr>
              <w:t>ЛОГУФЕН®. таблетки, вкриті плівковою оболонкою, по 500 мг по 10 таблеток у блістері, по 6 блістерів у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333333"/>
                <w:sz w:val="24"/>
                <w:szCs w:val="24"/>
                <w:shd w:val="clear" w:color="auto" w:fill="F9F9F9"/>
              </w:rPr>
            </w:pPr>
            <w:r>
              <w:rPr>
                <w:rFonts w:ascii="Times New Roman" w:hAnsi="Times New Roman"/>
                <w:bCs/>
                <w:color w:val="000000"/>
                <w:sz w:val="20"/>
                <w:szCs w:val="20"/>
              </w:rPr>
              <w:t>Levetiracetam</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iCs/>
                <w:sz w:val="24"/>
                <w:szCs w:val="24"/>
              </w:rPr>
            </w:pPr>
            <w:r>
              <w:rPr>
                <w:rFonts w:ascii="Times New Roman" w:hAnsi="Times New Roman"/>
                <w:bCs/>
                <w:color w:val="000000"/>
                <w:sz w:val="20"/>
                <w:szCs w:val="20"/>
              </w:rPr>
              <w:t>МІАСЕР®. Таблетки, вкриті плівковою оболонкою, по 30 мг по 10 таблеток у блістерах; по 2 блістери в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333333"/>
                <w:sz w:val="24"/>
                <w:szCs w:val="24"/>
                <w:shd w:val="clear" w:color="auto" w:fill="F9F9F9"/>
              </w:rPr>
            </w:pPr>
            <w:r>
              <w:rPr>
                <w:rFonts w:ascii="Times New Roman" w:hAnsi="Times New Roman"/>
                <w:bCs/>
                <w:color w:val="000000"/>
                <w:sz w:val="20"/>
                <w:szCs w:val="20"/>
              </w:rPr>
              <w:t>Mianserin</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lang w:val="uk-UA"/>
              </w:rPr>
            </w:pPr>
            <w:r>
              <w:rPr>
                <w:rFonts w:ascii="Times New Roman" w:hAnsi="Times New Roman"/>
                <w:bCs/>
                <w:color w:val="000000"/>
                <w:sz w:val="20"/>
                <w:szCs w:val="20"/>
              </w:rPr>
              <w:t>2</w:t>
            </w:r>
            <w:r>
              <w:rPr>
                <w:rFonts w:hint="default" w:ascii="Times New Roman" w:hAnsi="Times New Roman"/>
                <w:bCs/>
                <w:color w:val="000000"/>
                <w:sz w:val="20"/>
                <w:szCs w:val="20"/>
                <w:lang w:val="uk-U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МЕЗАКАР®. Таблетки по 200 мг № 50 (10х5)</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Carbamazepine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НЬЮРОПЕНТИН®.Капсули тверді по 300 мг № 100 (10х10) у блістерах</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Gabapentin</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РИСПЕРОН®. Таблетки, вкриті плівковою оболонкою, по 2 мг по 10 таблеток блістері, по 3 блістери у картонній пачці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Risperidone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СОНАПАКС® 25 МГ . таблетки, вкриті оболонкою, по 25 мг по 20 таблеток у блістері; по 3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Thioridazine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СОНАПАКС® 10 МГ. таблетки, вкриті оболонкою, по 10 мг по 30 таблеток у блістері; по 2 блістери в картонній коробці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Thioridazine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673" w:type="dxa"/>
            <w:tcBorders>
              <w:top w:val="single" w:color="auto" w:sz="4" w:space="0"/>
              <w:left w:val="single" w:color="auto" w:sz="4" w:space="0"/>
              <w:bottom w:val="single" w:color="auto" w:sz="4" w:space="0"/>
              <w:right w:val="single" w:color="auto" w:sz="4" w:space="0"/>
            </w:tcBorders>
          </w:tcPr>
          <w:p>
            <w:pPr>
              <w:numPr>
                <w:ilvl w:val="0"/>
                <w:numId w:val="1"/>
              </w:numPr>
              <w:shd w:val="clear" w:color="auto" w:fill="FFFFFF"/>
              <w:tabs>
                <w:tab w:val="left" w:pos="10381"/>
              </w:tabs>
              <w:snapToGrid w:val="0"/>
              <w:jc w:val="right"/>
              <w:rPr>
                <w:rFonts w:hint="default" w:ascii="Times New Roman" w:hAnsi="Times New Roman" w:cs="Times New Roman"/>
                <w:b w:val="0"/>
                <w:bCs w:val="0"/>
                <w:iCs/>
                <w:sz w:val="24"/>
                <w:szCs w:val="24"/>
              </w:rPr>
            </w:pPr>
          </w:p>
        </w:tc>
        <w:tc>
          <w:tcPr>
            <w:tcW w:w="6214"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ТИЗЕРЦИН®. Таблетки, вкриті плівковою оболонкою, по 25 мг по 50 таблеток у флаконі; по 1 флакону в картонній упаковці</w:t>
            </w:r>
          </w:p>
        </w:tc>
        <w:tc>
          <w:tcPr>
            <w:tcW w:w="1793" w:type="dxa"/>
            <w:tcBorders>
              <w:top w:val="single" w:color="auto" w:sz="4" w:space="0"/>
              <w:left w:val="single" w:color="auto" w:sz="4" w:space="0"/>
              <w:bottom w:val="single" w:color="auto" w:sz="4" w:space="0"/>
              <w:right w:val="single" w:color="auto" w:sz="4" w:space="0"/>
            </w:tcBorders>
            <w:vAlign w:val="bottom"/>
          </w:tcPr>
          <w:p>
            <w:pPr>
              <w:spacing w:line="240" w:lineRule="auto"/>
              <w:jc w:val="center"/>
              <w:rPr>
                <w:rFonts w:hint="default" w:ascii="Times New Roman" w:hAnsi="Times New Roman" w:cs="Times New Roman"/>
                <w:b w:val="0"/>
                <w:bCs w:val="0"/>
                <w:color w:val="000000"/>
                <w:sz w:val="24"/>
                <w:szCs w:val="24"/>
                <w:shd w:val="clear" w:color="auto" w:fill="FFFFFF"/>
              </w:rPr>
            </w:pPr>
            <w:r>
              <w:rPr>
                <w:rFonts w:ascii="Times New Roman" w:hAnsi="Times New Roman"/>
                <w:bCs/>
                <w:color w:val="000000"/>
                <w:sz w:val="20"/>
                <w:szCs w:val="20"/>
              </w:rPr>
              <w:t>Levomepromazine</w:t>
            </w:r>
          </w:p>
        </w:tc>
        <w:tc>
          <w:tcPr>
            <w:tcW w:w="893"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УП</w:t>
            </w:r>
          </w:p>
        </w:tc>
        <w:tc>
          <w:tcPr>
            <w:tcW w:w="1077" w:type="dxa"/>
            <w:tcBorders>
              <w:top w:val="single" w:color="auto" w:sz="4" w:space="0"/>
              <w:left w:val="single" w:color="auto" w:sz="4" w:space="0"/>
              <w:bottom w:val="single" w:color="auto" w:sz="4" w:space="0"/>
              <w:right w:val="single" w:color="auto" w:sz="4" w:space="0"/>
            </w:tcBorders>
            <w:vAlign w:val="bottom"/>
          </w:tcPr>
          <w:p>
            <w:pPr>
              <w:autoSpaceDE w:val="0"/>
              <w:autoSpaceDN w:val="0"/>
              <w:adjustRightInd w:val="0"/>
              <w:spacing w:before="12" w:after="12" w:line="240" w:lineRule="auto"/>
              <w:jc w:val="center"/>
              <w:rPr>
                <w:rFonts w:hint="default" w:ascii="Times New Roman" w:hAnsi="Times New Roman" w:cs="Times New Roman"/>
                <w:b w:val="0"/>
                <w:bCs w:val="0"/>
                <w:sz w:val="24"/>
                <w:szCs w:val="24"/>
              </w:rPr>
            </w:pPr>
            <w:r>
              <w:rPr>
                <w:rFonts w:ascii="Times New Roman" w:hAnsi="Times New Roman"/>
                <w:bCs/>
                <w:color w:val="000000"/>
                <w:sz w:val="20"/>
                <w:szCs w:val="20"/>
              </w:rPr>
              <w:t>100</w:t>
            </w:r>
          </w:p>
        </w:tc>
      </w:tr>
    </w:tbl>
    <w:p>
      <w:pPr>
        <w:spacing w:after="0" w:line="240" w:lineRule="auto"/>
        <w:jc w:val="both"/>
        <w:rPr>
          <w:rFonts w:ascii="Times New Roman" w:hAnsi="Times New Roman"/>
          <w:b w:val="0"/>
          <w:bCs w:val="0"/>
          <w:i/>
          <w:iCs/>
          <w:sz w:val="24"/>
          <w:szCs w:val="24"/>
          <w:lang w:val="uk-UA" w:eastAsia="ru-RU"/>
        </w:rPr>
      </w:pPr>
    </w:p>
    <w:p>
      <w:pPr>
        <w:spacing w:after="0" w:line="240" w:lineRule="auto"/>
        <w:jc w:val="center"/>
        <w:rPr>
          <w:rFonts w:ascii="Times New Roman" w:hAnsi="Times New Roman"/>
          <w:b w:val="0"/>
          <w:bCs w:val="0"/>
          <w:i/>
          <w:iCs/>
          <w:sz w:val="24"/>
          <w:szCs w:val="24"/>
          <w:lang w:val="uk-UA" w:eastAsia="ru-RU"/>
        </w:rPr>
      </w:pPr>
    </w:p>
    <w:p>
      <w:pPr>
        <w:jc w:val="center"/>
        <w:rPr>
          <w:rFonts w:ascii="Times New Roman" w:hAnsi="Times New Roman" w:eastAsia="Calibri"/>
          <w:b w:val="0"/>
          <w:bCs w:val="0"/>
          <w:color w:val="000000"/>
          <w:lang w:val="uk-UA"/>
        </w:rPr>
      </w:pPr>
      <w:r>
        <w:rPr>
          <w:rFonts w:ascii="Times New Roman" w:hAnsi="Times New Roman" w:eastAsia="Calibri"/>
          <w:b w:val="0"/>
          <w:bCs w:val="0"/>
          <w:lang w:val="uk-UA"/>
        </w:rPr>
        <w:t xml:space="preserve">                        </w:t>
      </w:r>
      <w:r>
        <w:rPr>
          <w:rFonts w:ascii="Times New Roman" w:hAnsi="Times New Roman" w:eastAsia="Calibri"/>
          <w:b w:val="0"/>
          <w:bCs w:val="0"/>
          <w:color w:val="000000"/>
          <w:lang w:val="uk-UA"/>
        </w:rPr>
        <w:t>ЗАГАЛЬНІ ВИМОГИ:</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lang w:val="uk-UA"/>
        </w:rPr>
        <w:t xml:space="preserve">Усі запропоновані лікарські засоби мають бути належним чином зареєстрованими в МОЗ України </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 xml:space="preserve">Запропонований товар повинен бути якісним. </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При поставці товару 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w:t>
      </w:r>
      <w:r>
        <w:rPr>
          <w:rFonts w:ascii="Times New Roman" w:hAnsi="Times New Roman" w:eastAsia="Calibri"/>
          <w:b w:val="0"/>
          <w:bCs w:val="0"/>
          <w:lang w:val="uk-UA"/>
        </w:rPr>
        <w:t xml:space="preserve"> </w:t>
      </w:r>
      <w:r>
        <w:rPr>
          <w:rFonts w:ascii="Times New Roman" w:hAnsi="Times New Roman" w:eastAsia="Calibri"/>
          <w:b w:val="0"/>
          <w:bCs w:val="0"/>
          <w:i/>
          <w:lang w:val="uk-UA"/>
        </w:rPr>
        <w:t>Для підтвердження учасник надає гарантійний лист.</w:t>
      </w:r>
    </w:p>
    <w:p>
      <w:pPr>
        <w:numPr>
          <w:ilvl w:val="0"/>
          <w:numId w:val="2"/>
        </w:numPr>
        <w:spacing w:after="0" w:line="256" w:lineRule="auto"/>
        <w:ind w:left="0" w:firstLine="567"/>
        <w:jc w:val="both"/>
        <w:rPr>
          <w:rFonts w:ascii="Times New Roman" w:hAnsi="Times New Roman" w:eastAsia="Calibri"/>
          <w:b w:val="0"/>
          <w:bCs w:val="0"/>
          <w:spacing w:val="1"/>
          <w:lang w:val="uk-UA"/>
        </w:rPr>
      </w:pPr>
      <w:r>
        <w:rPr>
          <w:rFonts w:ascii="Times New Roman" w:hAnsi="Times New Roman" w:eastAsia="Calibri"/>
          <w:b w:val="0"/>
          <w:bCs w:val="0"/>
          <w:spacing w:val="1"/>
          <w:lang w:val="uk-UA"/>
        </w:rPr>
        <w:t>Строк придатності Товару на момент поставки повинен становити не менше 80% від загального терміну придатності.</w:t>
      </w:r>
    </w:p>
    <w:p>
      <w:pPr>
        <w:spacing w:after="0" w:line="256" w:lineRule="auto"/>
        <w:ind w:firstLine="567"/>
        <w:jc w:val="both"/>
        <w:rPr>
          <w:rFonts w:ascii="Times New Roman" w:hAnsi="Times New Roman" w:eastAsia="Calibri"/>
          <w:b w:val="0"/>
          <w:bCs w:val="0"/>
          <w:spacing w:val="1"/>
          <w:lang w:val="uk-UA"/>
        </w:rPr>
      </w:pPr>
      <w:r>
        <w:rPr>
          <w:rFonts w:ascii="Times New Roman" w:hAnsi="Times New Roman" w:eastAsia="Calibri"/>
          <w:b w:val="0"/>
          <w:bCs w:val="0"/>
          <w:i/>
          <w:spacing w:val="1"/>
          <w:lang w:val="uk-UA"/>
        </w:rPr>
        <w:t>Для підтвердження учасник надає гарантійний лист про термін придатності лікарських засобів.</w:t>
      </w:r>
    </w:p>
    <w:p>
      <w:pPr>
        <w:numPr>
          <w:ilvl w:val="0"/>
          <w:numId w:val="2"/>
        </w:numPr>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Учасник зобов'язаний забезпечити поставку (та розвантаження) лікарських засобів на склад закладу.</w:t>
      </w:r>
    </w:p>
    <w:p>
      <w:pPr>
        <w:spacing w:after="0" w:line="256" w:lineRule="auto"/>
        <w:ind w:firstLine="567"/>
        <w:jc w:val="both"/>
        <w:rPr>
          <w:rFonts w:ascii="Times New Roman" w:hAnsi="Times New Roman" w:eastAsia="Calibri"/>
          <w:b w:val="0"/>
          <w:bCs w:val="0"/>
          <w:i/>
          <w:lang w:val="uk-UA"/>
        </w:rPr>
      </w:pPr>
      <w:r>
        <w:rPr>
          <w:rFonts w:ascii="Times New Roman" w:hAnsi="Times New Roman" w:eastAsia="Calibri"/>
          <w:b w:val="0"/>
          <w:bCs w:val="0"/>
          <w:i/>
          <w:lang w:val="uk-UA"/>
        </w:rPr>
        <w:t>На підтвердження Учасник повинен надати гарантійний лист у довільний формі, в якому підтверджує проведення доставки за рахунок Учасника.</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i/>
          <w:lang w:val="uk-UA"/>
        </w:rPr>
      </w:pPr>
      <w:r>
        <w:rPr>
          <w:rFonts w:ascii="Times New Roman" w:hAnsi="Times New Roman" w:eastAsia="Calibri"/>
          <w:b w:val="0"/>
          <w:bCs w:val="0"/>
          <w:lang w:val="uk-UA"/>
        </w:rPr>
        <w:t xml:space="preserve">Постачальник гарантує, що Товар новий, не перебував в експлуатації, термін та умови його зберігання не порушені. </w:t>
      </w:r>
      <w:r>
        <w:rPr>
          <w:rFonts w:ascii="Times New Roman" w:hAnsi="Times New Roman" w:eastAsia="Calibri"/>
          <w:b w:val="0"/>
          <w:bCs w:val="0"/>
          <w:i/>
          <w:lang w:val="uk-UA"/>
        </w:rPr>
        <w:t>(надати гарантійний лист від учасника у складі тендерної пропозиції).</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Надання</w:t>
      </w:r>
      <w:r>
        <w:rPr>
          <w:rFonts w:ascii="Times New Roman" w:hAnsi="Times New Roman" w:eastAsia="Calibri"/>
          <w:b w:val="0"/>
          <w:bCs w:val="0"/>
          <w:lang w:val="uk-UA"/>
        </w:rPr>
        <w:t xml:space="preserve"> </w:t>
      </w:r>
      <w:r>
        <w:rPr>
          <w:rFonts w:ascii="Times New Roman" w:hAnsi="Times New Roman" w:eastAsia="Calibri"/>
          <w:b w:val="0"/>
          <w:bCs w:val="0"/>
        </w:rPr>
        <w:t>копії</w:t>
      </w:r>
      <w:r>
        <w:rPr>
          <w:rFonts w:ascii="Times New Roman" w:hAnsi="Times New Roman" w:eastAsia="Calibri"/>
          <w:b w:val="0"/>
          <w:bCs w:val="0"/>
          <w:lang w:val="uk-UA"/>
        </w:rPr>
        <w:t xml:space="preserve"> </w:t>
      </w:r>
      <w:r>
        <w:rPr>
          <w:rFonts w:ascii="Times New Roman" w:hAnsi="Times New Roman" w:eastAsia="Calibri"/>
          <w:b w:val="0"/>
          <w:bCs w:val="0"/>
        </w:rPr>
        <w:t>Сертифікатів</w:t>
      </w:r>
      <w:r>
        <w:rPr>
          <w:rFonts w:ascii="Times New Roman" w:hAnsi="Times New Roman" w:eastAsia="Calibri"/>
          <w:b w:val="0"/>
          <w:bCs w:val="0"/>
          <w:lang w:val="uk-UA"/>
        </w:rPr>
        <w:t xml:space="preserve"> </w:t>
      </w:r>
      <w:r>
        <w:rPr>
          <w:rFonts w:ascii="Times New Roman" w:hAnsi="Times New Roman" w:eastAsia="Calibri"/>
          <w:b w:val="0"/>
          <w:bCs w:val="0"/>
        </w:rPr>
        <w:t>якості до лікарського</w:t>
      </w:r>
      <w:r>
        <w:rPr>
          <w:rFonts w:ascii="Times New Roman" w:hAnsi="Times New Roman" w:eastAsia="Calibri"/>
          <w:b w:val="0"/>
          <w:bCs w:val="0"/>
          <w:lang w:val="uk-UA"/>
        </w:rPr>
        <w:t xml:space="preserve"> </w:t>
      </w:r>
      <w:r>
        <w:rPr>
          <w:rFonts w:ascii="Times New Roman" w:hAnsi="Times New Roman" w:eastAsia="Calibri"/>
          <w:b w:val="0"/>
          <w:bCs w:val="0"/>
        </w:rPr>
        <w:t>засобу при поставці</w:t>
      </w:r>
      <w:r>
        <w:rPr>
          <w:rFonts w:ascii="Times New Roman" w:hAnsi="Times New Roman" w:eastAsia="Calibri"/>
          <w:b w:val="0"/>
          <w:bCs w:val="0"/>
          <w:lang w:val="uk-UA"/>
        </w:rPr>
        <w:t xml:space="preserve"> </w:t>
      </w:r>
      <w:r>
        <w:rPr>
          <w:rFonts w:ascii="Times New Roman" w:hAnsi="Times New Roman" w:eastAsia="Calibri"/>
          <w:b w:val="0"/>
          <w:bCs w:val="0"/>
        </w:rPr>
        <w:t>товару,або за зверненням</w:t>
      </w:r>
      <w:r>
        <w:rPr>
          <w:rFonts w:ascii="Times New Roman" w:hAnsi="Times New Roman" w:eastAsia="Calibri"/>
          <w:b w:val="0"/>
          <w:bCs w:val="0"/>
          <w:lang w:val="uk-UA"/>
        </w:rPr>
        <w:t xml:space="preserve"> </w:t>
      </w:r>
      <w:r>
        <w:rPr>
          <w:rFonts w:ascii="Times New Roman" w:hAnsi="Times New Roman" w:eastAsia="Calibri"/>
          <w:b w:val="0"/>
          <w:bCs w:val="0"/>
        </w:rPr>
        <w:t>Замовника  (</w:t>
      </w:r>
      <w:r>
        <w:rPr>
          <w:rFonts w:ascii="Times New Roman" w:hAnsi="Times New Roman" w:eastAsia="Calibri"/>
          <w:b w:val="0"/>
          <w:bCs w:val="0"/>
          <w:i/>
        </w:rPr>
        <w:t>надати</w:t>
      </w:r>
      <w:r>
        <w:rPr>
          <w:rFonts w:ascii="Times New Roman" w:hAnsi="Times New Roman" w:eastAsia="Calibri"/>
          <w:b w:val="0"/>
          <w:bCs w:val="0"/>
          <w:i/>
          <w:lang w:val="uk-UA"/>
        </w:rPr>
        <w:t xml:space="preserve"> </w:t>
      </w:r>
      <w:r>
        <w:rPr>
          <w:rFonts w:ascii="Times New Roman" w:hAnsi="Times New Roman" w:eastAsia="Calibri"/>
          <w:b w:val="0"/>
          <w:bCs w:val="0"/>
          <w:i/>
        </w:rPr>
        <w:t>гарантійний лист).</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rPr>
        <w:t>Товар має</w:t>
      </w:r>
      <w:r>
        <w:rPr>
          <w:rFonts w:ascii="Times New Roman" w:hAnsi="Times New Roman" w:eastAsia="Calibri"/>
          <w:b w:val="0"/>
          <w:bCs w:val="0"/>
          <w:lang w:val="uk-UA"/>
        </w:rPr>
        <w:t xml:space="preserve"> </w:t>
      </w:r>
      <w:r>
        <w:rPr>
          <w:rFonts w:ascii="Times New Roman" w:hAnsi="Times New Roman" w:eastAsia="Calibri"/>
          <w:b w:val="0"/>
          <w:bCs w:val="0"/>
        </w:rPr>
        <w:t>супроводжуватися документами, що</w:t>
      </w:r>
      <w:r>
        <w:rPr>
          <w:rFonts w:ascii="Times New Roman" w:hAnsi="Times New Roman" w:eastAsia="Calibri"/>
          <w:b w:val="0"/>
          <w:bCs w:val="0"/>
          <w:lang w:val="uk-UA"/>
        </w:rPr>
        <w:t xml:space="preserve"> </w:t>
      </w:r>
      <w:r>
        <w:rPr>
          <w:rFonts w:ascii="Times New Roman" w:hAnsi="Times New Roman" w:eastAsia="Calibri"/>
          <w:b w:val="0"/>
          <w:bCs w:val="0"/>
        </w:rPr>
        <w:t>підтверджують</w:t>
      </w:r>
      <w:r>
        <w:rPr>
          <w:rFonts w:ascii="Times New Roman" w:hAnsi="Times New Roman" w:eastAsia="Calibri"/>
          <w:b w:val="0"/>
          <w:bCs w:val="0"/>
          <w:lang w:val="uk-UA"/>
        </w:rPr>
        <w:t xml:space="preserve"> </w:t>
      </w:r>
      <w:r>
        <w:rPr>
          <w:rFonts w:ascii="Times New Roman" w:hAnsi="Times New Roman" w:eastAsia="Calibri"/>
          <w:b w:val="0"/>
          <w:bCs w:val="0"/>
        </w:rPr>
        <w:t>якість та кількість товару</w:t>
      </w:r>
      <w:r>
        <w:rPr>
          <w:rFonts w:ascii="Times New Roman" w:hAnsi="Times New Roman" w:eastAsia="Calibri"/>
          <w:b w:val="0"/>
          <w:bCs w:val="0"/>
          <w:lang w:val="uk-UA"/>
        </w:rPr>
        <w:t>.</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Ціна повинна відповідати реєстру оптово-відпускних цін на лікарські засоби відповідно до вимог постанови КМУ від 02.07.2014 року №240 та, а також наказ МОЗ України від 18.08.2014 № 574.</w:t>
      </w:r>
    </w:p>
    <w:p>
      <w:pPr>
        <w:numPr>
          <w:ilvl w:val="0"/>
          <w:numId w:val="2"/>
        </w:numPr>
        <w:tabs>
          <w:tab w:val="left" w:pos="-284"/>
        </w:tabs>
        <w:autoSpaceDN w:val="0"/>
        <w:spacing w:after="0" w:line="256" w:lineRule="auto"/>
        <w:ind w:left="0" w:firstLine="567"/>
        <w:jc w:val="both"/>
        <w:rPr>
          <w:rFonts w:ascii="Times New Roman" w:hAnsi="Times New Roman" w:eastAsia="Calibri"/>
          <w:b w:val="0"/>
          <w:bCs w:val="0"/>
          <w:lang w:val="uk-UA"/>
        </w:rPr>
      </w:pPr>
      <w:r>
        <w:rPr>
          <w:rFonts w:ascii="Times New Roman" w:hAnsi="Times New Roman" w:eastAsia="Calibri"/>
          <w:b w:val="0"/>
          <w:bCs w:val="0"/>
          <w:lang w:val="uk-UA"/>
        </w:rPr>
        <w:t>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 сайту МОЗ України з такою інформацією). Уразі,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відсканований лист-пояснення відсутності такого документу на даний товар.</w:t>
      </w:r>
    </w:p>
    <w:p>
      <w:pPr>
        <w:tabs>
          <w:tab w:val="left" w:pos="10205"/>
        </w:tabs>
        <w:ind w:right="-55"/>
        <w:jc w:val="both"/>
        <w:rPr>
          <w:rFonts w:ascii="Times New Roman" w:hAnsi="Times New Roman" w:eastAsia="Calibri"/>
          <w:b w:val="0"/>
          <w:bCs w:val="0"/>
          <w:color w:val="000000"/>
          <w:lang w:val="uk-UA"/>
        </w:rPr>
      </w:pPr>
      <w:r>
        <w:rPr>
          <w:rFonts w:ascii="Times New Roman" w:hAnsi="Times New Roman" w:eastAsia="Calibri"/>
          <w:b w:val="0"/>
          <w:bCs w:val="0"/>
          <w:color w:val="000000"/>
          <w:lang w:val="uk-UA"/>
        </w:rPr>
        <w:t>Учасник має право подати еквівалент товару запропонованого Замовником у медико-технічних вимогах.</w:t>
      </w:r>
    </w:p>
    <w:p>
      <w:pPr>
        <w:tabs>
          <w:tab w:val="left" w:pos="-284"/>
        </w:tabs>
        <w:autoSpaceDN w:val="0"/>
        <w:spacing w:after="0" w:line="256" w:lineRule="auto"/>
        <w:ind w:left="284"/>
        <w:jc w:val="both"/>
        <w:rPr>
          <w:rFonts w:ascii="Times New Roman" w:hAnsi="Times New Roman" w:eastAsia="Calibri"/>
          <w:b w:val="0"/>
          <w:bCs w:val="0"/>
          <w:color w:val="000000"/>
          <w:lang w:val="uk-UA" w:eastAsia="ru-RU"/>
        </w:rPr>
      </w:pPr>
      <w:r>
        <w:rPr>
          <w:rFonts w:ascii="Times New Roman" w:hAnsi="Times New Roman" w:eastAsia="Calibri"/>
          <w:b w:val="0"/>
          <w:bCs w:val="0"/>
          <w:color w:val="000000"/>
          <w:lang w:val="uk-UA"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предмету закупівлі, що містяться в тендерній документації та цьому додатку, а також підтверджує можливість </w:t>
      </w:r>
      <w:r>
        <w:rPr>
          <w:rFonts w:ascii="Times New Roman" w:hAnsi="Times New Roman" w:eastAsia="Calibri"/>
          <w:b w:val="0"/>
          <w:bCs w:val="0"/>
          <w:lang w:val="uk-UA" w:eastAsia="ru-RU"/>
        </w:rPr>
        <w:t>поставки товару</w:t>
      </w:r>
      <w:r>
        <w:rPr>
          <w:rFonts w:ascii="Times New Roman" w:hAnsi="Times New Roman" w:eastAsia="Calibri"/>
          <w:b w:val="0"/>
          <w:bCs w:val="0"/>
          <w:color w:val="000000"/>
          <w:lang w:val="uk-UA" w:eastAsia="ru-RU"/>
        </w:rPr>
        <w:t>, у відповідності до вимог, визначених згідно з умовами тендерної документації.</w:t>
      </w:r>
    </w:p>
    <w:p>
      <w:pPr>
        <w:shd w:val="clear" w:color="auto" w:fill="FFFFFF"/>
        <w:spacing w:after="0" w:line="240" w:lineRule="auto"/>
        <w:ind w:firstLine="460"/>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eastAsia="Calibri"/>
          <w:b w:val="0"/>
          <w:bCs w:val="0"/>
          <w:iCs/>
          <w:lang w:val="uk-UA"/>
        </w:rPr>
      </w:pPr>
      <w:r>
        <w:rPr>
          <w:rFonts w:ascii="Times New Roman" w:hAnsi="Times New Roman" w:eastAsia="Calibri"/>
          <w:b w:val="0"/>
          <w:bCs w:val="0"/>
          <w:i/>
          <w:iCs/>
          <w:shd w:val="clear" w:color="auto" w:fill="FFFFFF"/>
          <w:lang w:val="uk-UA" w:eastAsia="ru-RU"/>
        </w:rPr>
        <w:t xml:space="preserve">В місцях, де технічна специфікація містить посилання на конкретні марку чи </w:t>
      </w:r>
      <w:r>
        <w:rPr>
          <w:rFonts w:ascii="Times New Roman" w:hAnsi="Times New Roman" w:eastAsia="Calibri"/>
          <w:b w:val="0"/>
          <w:bCs w:val="0"/>
          <w:iCs/>
          <w:shd w:val="clear" w:color="auto" w:fill="FFFFFF"/>
          <w:lang w:val="uk-UA" w:eastAsia="ru-RU"/>
        </w:rPr>
        <w:t>виробника або на конкретний процес, що характеризує продукт чи на торгові марки, патенти, типи або конкретне місце походження чи спосіб виробництва, вважати вираз "або еквівалент".</w:t>
      </w:r>
    </w:p>
    <w:p>
      <w:pPr>
        <w:spacing w:after="0" w:line="240" w:lineRule="auto"/>
        <w:rPr>
          <w:rFonts w:ascii="Times New Roman" w:hAnsi="Times New Roman" w:eastAsia="Calibri"/>
          <w:b w:val="0"/>
          <w:bCs w:val="0"/>
          <w:lang w:val="uk-UA" w:eastAsia="ru-RU"/>
        </w:rPr>
      </w:pPr>
    </w:p>
    <w:p>
      <w:pPr>
        <w:spacing w:after="0" w:line="240" w:lineRule="auto"/>
        <w:ind w:firstLine="708"/>
        <w:jc w:val="both"/>
        <w:rPr>
          <w:rFonts w:ascii="Times New Roman" w:hAnsi="Times New Roman" w:eastAsia="Calibri"/>
          <w:b w:val="0"/>
          <w:bCs w:val="0"/>
          <w:shd w:val="clear" w:color="auto" w:fill="FFFFFF"/>
          <w:lang w:val="uk-UA" w:eastAsia="ru-RU"/>
        </w:rPr>
      </w:pPr>
      <w:r>
        <w:rPr>
          <w:rFonts w:ascii="Times New Roman" w:hAnsi="Times New Roman" w:eastAsia="Calibri"/>
          <w:b w:val="0"/>
          <w:bCs w:val="0"/>
          <w:iCs/>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pPr>
        <w:spacing w:after="0" w:line="240" w:lineRule="auto"/>
        <w:ind w:firstLine="708"/>
        <w:jc w:val="both"/>
        <w:rPr>
          <w:rFonts w:ascii="Times New Roman" w:hAnsi="Times New Roman" w:eastAsia="Calibri"/>
          <w:b w:val="0"/>
          <w:bCs w:val="0"/>
          <w:lang w:val="uk-UA" w:eastAsia="ru-RU"/>
        </w:rPr>
      </w:pPr>
    </w:p>
    <w:p>
      <w:pPr>
        <w:spacing w:after="0" w:line="240" w:lineRule="auto"/>
        <w:ind w:firstLine="720"/>
        <w:jc w:val="both"/>
        <w:rPr>
          <w:rFonts w:ascii="Times New Roman" w:hAnsi="Times New Roman" w:eastAsia="Calibri"/>
          <w:b w:val="0"/>
          <w:bCs w:val="0"/>
          <w:lang w:val="uk-UA" w:eastAsia="ru-RU"/>
        </w:rPr>
      </w:pPr>
      <w:r>
        <w:rPr>
          <w:rFonts w:ascii="Times New Roman" w:hAnsi="Times New Roman" w:eastAsia="Calibri"/>
          <w:b w:val="0"/>
          <w:bCs w:val="0"/>
          <w:color w:val="000000"/>
          <w:shd w:val="clear" w:color="auto" w:fill="FFFFFF"/>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pPr>
        <w:spacing w:after="0" w:line="240" w:lineRule="auto"/>
        <w:jc w:val="both"/>
        <w:rPr>
          <w:rFonts w:ascii="Times New Roman" w:hAnsi="Times New Roman" w:eastAsia="Calibri"/>
          <w:b w:val="0"/>
          <w:bCs w:val="0"/>
          <w:lang w:val="uk-UA"/>
        </w:rPr>
      </w:pPr>
    </w:p>
    <w:p>
      <w:pPr>
        <w:spacing w:after="0" w:line="240" w:lineRule="auto"/>
        <w:jc w:val="both"/>
        <w:rPr>
          <w:rFonts w:ascii="Times New Roman" w:hAnsi="Times New Roman" w:eastAsia="Calibri"/>
          <w:b w:val="0"/>
          <w:bCs w:val="0"/>
          <w:lang w:val="uk-UA"/>
        </w:rPr>
      </w:pPr>
    </w:p>
    <w:p>
      <w:pPr>
        <w:spacing w:after="0"/>
        <w:rPr>
          <w:rFonts w:ascii="Times New Roman" w:hAnsi="Times New Roman" w:eastAsia="Calibri"/>
          <w:b w:val="0"/>
          <w:bCs w:val="0"/>
          <w:lang w:val="uk-UA"/>
        </w:rPr>
      </w:pPr>
      <w:r>
        <w:rPr>
          <w:rFonts w:ascii="Times New Roman" w:hAnsi="Times New Roman" w:eastAsia="Calibri"/>
          <w:b w:val="0"/>
          <w:bCs w:val="0"/>
          <w:lang w:val="uk-UA"/>
        </w:rPr>
        <w:t xml:space="preserve">                                                       </w:t>
      </w:r>
    </w:p>
    <w:p>
      <w:pPr>
        <w:spacing w:after="0" w:line="240" w:lineRule="auto"/>
        <w:jc w:val="center"/>
        <w:rPr>
          <w:rFonts w:ascii="Times New Roman" w:hAnsi="Times New Roman" w:eastAsia="Calibri"/>
          <w:b w:val="0"/>
          <w:bCs w:val="0"/>
          <w:lang w:val="uk-UA"/>
        </w:rPr>
      </w:pPr>
    </w:p>
    <w:p>
      <w:pPr>
        <w:spacing w:after="0" w:line="240" w:lineRule="auto"/>
        <w:jc w:val="center"/>
        <w:rPr>
          <w:rFonts w:ascii="Times New Roman" w:hAnsi="Times New Roman" w:eastAsia="Calibri"/>
          <w:b w:val="0"/>
          <w:bCs w:val="0"/>
          <w:lang w:val="uk-UA"/>
        </w:rPr>
      </w:pPr>
    </w:p>
    <w:p>
      <w:pPr>
        <w:spacing w:after="0" w:line="240" w:lineRule="auto"/>
        <w:jc w:val="center"/>
        <w:rPr>
          <w:rFonts w:ascii="Times New Roman" w:hAnsi="Times New Roman"/>
          <w:b w:val="0"/>
          <w:bCs w:val="0"/>
          <w:i/>
          <w:iCs/>
          <w:lang w:val="uk-UA" w:eastAsia="ru-RU"/>
        </w:rPr>
      </w:pPr>
    </w:p>
    <w:sectPr>
      <w:pgSz w:w="12240" w:h="15840"/>
      <w:pgMar w:top="426" w:right="616" w:bottom="284" w:left="709"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C02A42"/>
    <w:multiLevelType w:val="multilevel"/>
    <w:tmpl w:val="3AC02A42"/>
    <w:lvl w:ilvl="0" w:tentative="0">
      <w:start w:val="1"/>
      <w:numFmt w:val="decimal"/>
      <w:lvlText w:val="%1."/>
      <w:lvlJc w:val="left"/>
      <w:pPr>
        <w:ind w:left="502"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5EBB6759"/>
    <w:multiLevelType w:val="multilevel"/>
    <w:tmpl w:val="5EBB6759"/>
    <w:lvl w:ilvl="0" w:tentative="0">
      <w:start w:val="1"/>
      <w:numFmt w:val="decimal"/>
      <w:lvlText w:val="%1."/>
      <w:lvlJc w:val="left"/>
      <w:pPr>
        <w:ind w:left="644" w:hanging="360"/>
      </w:pPr>
      <w:rPr>
        <w:rFonts w:cs="Times New Roman"/>
      </w:rPr>
    </w:lvl>
    <w:lvl w:ilvl="1" w:tentative="0">
      <w:start w:val="1"/>
      <w:numFmt w:val="lowerLetter"/>
      <w:lvlText w:val="%2."/>
      <w:lvlJc w:val="left"/>
      <w:pPr>
        <w:ind w:left="1440" w:hanging="360"/>
      </w:pPr>
      <w:rPr>
        <w:rFonts w:cs="Times New Roman"/>
      </w:rPr>
    </w:lvl>
    <w:lvl w:ilvl="2" w:tentative="0">
      <w:start w:val="1"/>
      <w:numFmt w:val="lowerRoman"/>
      <w:lvlText w:val="%3."/>
      <w:lvlJc w:val="right"/>
      <w:pPr>
        <w:ind w:left="2160" w:hanging="180"/>
      </w:pPr>
      <w:rPr>
        <w:rFonts w:cs="Times New Roman"/>
      </w:rPr>
    </w:lvl>
    <w:lvl w:ilvl="3" w:tentative="0">
      <w:start w:val="1"/>
      <w:numFmt w:val="decimal"/>
      <w:lvlText w:val="%4."/>
      <w:lvlJc w:val="left"/>
      <w:pPr>
        <w:ind w:left="2880" w:hanging="360"/>
      </w:pPr>
      <w:rPr>
        <w:rFonts w:cs="Times New Roman"/>
      </w:rPr>
    </w:lvl>
    <w:lvl w:ilvl="4" w:tentative="0">
      <w:start w:val="1"/>
      <w:numFmt w:val="lowerLetter"/>
      <w:lvlText w:val="%5."/>
      <w:lvlJc w:val="left"/>
      <w:pPr>
        <w:ind w:left="3600" w:hanging="360"/>
      </w:pPr>
      <w:rPr>
        <w:rFonts w:cs="Times New Roman"/>
      </w:rPr>
    </w:lvl>
    <w:lvl w:ilvl="5" w:tentative="0">
      <w:start w:val="1"/>
      <w:numFmt w:val="lowerRoman"/>
      <w:lvlText w:val="%6."/>
      <w:lvlJc w:val="right"/>
      <w:pPr>
        <w:ind w:left="4320" w:hanging="180"/>
      </w:pPr>
      <w:rPr>
        <w:rFonts w:cs="Times New Roman"/>
      </w:rPr>
    </w:lvl>
    <w:lvl w:ilvl="6" w:tentative="0">
      <w:start w:val="1"/>
      <w:numFmt w:val="decimal"/>
      <w:lvlText w:val="%7."/>
      <w:lvlJc w:val="left"/>
      <w:pPr>
        <w:ind w:left="5040" w:hanging="360"/>
      </w:pPr>
      <w:rPr>
        <w:rFonts w:cs="Times New Roman"/>
      </w:rPr>
    </w:lvl>
    <w:lvl w:ilvl="7" w:tentative="0">
      <w:start w:val="1"/>
      <w:numFmt w:val="lowerLetter"/>
      <w:lvlText w:val="%8."/>
      <w:lvlJc w:val="left"/>
      <w:pPr>
        <w:ind w:left="5760" w:hanging="360"/>
      </w:pPr>
      <w:rPr>
        <w:rFonts w:cs="Times New Roman"/>
      </w:rPr>
    </w:lvl>
    <w:lvl w:ilvl="8" w:tentative="0">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3C"/>
    <w:rsid w:val="00022062"/>
    <w:rsid w:val="0009550A"/>
    <w:rsid w:val="000C5534"/>
    <w:rsid w:val="001B0823"/>
    <w:rsid w:val="001F2D18"/>
    <w:rsid w:val="00203D4E"/>
    <w:rsid w:val="00233F1A"/>
    <w:rsid w:val="00234BEC"/>
    <w:rsid w:val="002808C4"/>
    <w:rsid w:val="00356576"/>
    <w:rsid w:val="00363A6E"/>
    <w:rsid w:val="003E4231"/>
    <w:rsid w:val="00425BCA"/>
    <w:rsid w:val="00445EAB"/>
    <w:rsid w:val="00477D09"/>
    <w:rsid w:val="00482038"/>
    <w:rsid w:val="00497150"/>
    <w:rsid w:val="004F6EC6"/>
    <w:rsid w:val="00541F5E"/>
    <w:rsid w:val="00566130"/>
    <w:rsid w:val="00587174"/>
    <w:rsid w:val="006565DB"/>
    <w:rsid w:val="006B7F68"/>
    <w:rsid w:val="006E04B5"/>
    <w:rsid w:val="006F4946"/>
    <w:rsid w:val="00707571"/>
    <w:rsid w:val="0071029F"/>
    <w:rsid w:val="0074330B"/>
    <w:rsid w:val="00743D4D"/>
    <w:rsid w:val="007A0E7F"/>
    <w:rsid w:val="007E604F"/>
    <w:rsid w:val="00801FD5"/>
    <w:rsid w:val="00816437"/>
    <w:rsid w:val="008712B9"/>
    <w:rsid w:val="0090196D"/>
    <w:rsid w:val="00910C41"/>
    <w:rsid w:val="009144CF"/>
    <w:rsid w:val="0091654E"/>
    <w:rsid w:val="009A3BD4"/>
    <w:rsid w:val="009C637D"/>
    <w:rsid w:val="009D323F"/>
    <w:rsid w:val="00A1584A"/>
    <w:rsid w:val="00A31744"/>
    <w:rsid w:val="00A4671A"/>
    <w:rsid w:val="00A90F9C"/>
    <w:rsid w:val="00BA6E7D"/>
    <w:rsid w:val="00BF1017"/>
    <w:rsid w:val="00BF623C"/>
    <w:rsid w:val="00CA2FA9"/>
    <w:rsid w:val="00CE3CA0"/>
    <w:rsid w:val="00D72B6A"/>
    <w:rsid w:val="00D82B64"/>
    <w:rsid w:val="00D8638A"/>
    <w:rsid w:val="00DE2781"/>
    <w:rsid w:val="00EC3D56"/>
    <w:rsid w:val="00EC5A56"/>
    <w:rsid w:val="00F20E6B"/>
    <w:rsid w:val="00F81760"/>
    <w:rsid w:val="00F97025"/>
    <w:rsid w:val="11035875"/>
    <w:rsid w:val="15F430DC"/>
    <w:rsid w:val="165E6E8A"/>
    <w:rsid w:val="18C565E7"/>
    <w:rsid w:val="1A6067C4"/>
    <w:rsid w:val="25A17EF1"/>
    <w:rsid w:val="2E7A2B78"/>
    <w:rsid w:val="320B5800"/>
    <w:rsid w:val="3F765CFA"/>
    <w:rsid w:val="4565557C"/>
    <w:rsid w:val="4CFD58E4"/>
    <w:rsid w:val="50C96ECF"/>
    <w:rsid w:val="57EB3BDA"/>
    <w:rsid w:val="59DA12FC"/>
    <w:rsid w:val="5C1B0A7F"/>
    <w:rsid w:val="5C224006"/>
    <w:rsid w:val="5CE123F8"/>
    <w:rsid w:val="5F7B5536"/>
    <w:rsid w:val="61F55128"/>
    <w:rsid w:val="71E412EC"/>
    <w:rsid w:val="7CCE36EE"/>
    <w:rsid w:val="7FBC4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qFormat/>
    <w:uiPriority w:val="0"/>
    <w:rPr>
      <w:color w:val="0000FF"/>
      <w:u w:val="single"/>
    </w:rPr>
  </w:style>
  <w:style w:type="paragraph" w:styleId="5">
    <w:name w:val="Balloon Text"/>
    <w:basedOn w:val="1"/>
    <w:link w:val="8"/>
    <w:semiHidden/>
    <w:unhideWhenUsed/>
    <w:qFormat/>
    <w:uiPriority w:val="99"/>
    <w:pPr>
      <w:spacing w:after="0" w:line="240" w:lineRule="auto"/>
    </w:pPr>
    <w:rPr>
      <w:rFonts w:ascii="Segoe UI" w:hAnsi="Segoe UI" w:cs="Segoe UI"/>
      <w:sz w:val="18"/>
      <w:szCs w:val="18"/>
    </w:rPr>
  </w:style>
  <w:style w:type="paragraph" w:styleId="6">
    <w:name w:val="No Spacing"/>
    <w:link w:val="7"/>
    <w:qFormat/>
    <w:uiPriority w:val="1"/>
    <w:rPr>
      <w:rFonts w:ascii="Calibri" w:hAnsi="Calibri" w:eastAsia="Calibri" w:cs="Times New Roman"/>
      <w:sz w:val="22"/>
      <w:szCs w:val="22"/>
      <w:lang w:val="uk-UA" w:eastAsia="en-US" w:bidi="ar-SA"/>
    </w:rPr>
  </w:style>
  <w:style w:type="character" w:customStyle="1" w:styleId="7">
    <w:name w:val="Без интервала Знак"/>
    <w:link w:val="6"/>
    <w:qFormat/>
    <w:uiPriority w:val="1"/>
    <w:rPr>
      <w:rFonts w:ascii="Calibri" w:hAnsi="Calibri" w:eastAsia="Calibri" w:cs="Times New Roman"/>
      <w:lang w:val="uk-UA"/>
    </w:rPr>
  </w:style>
  <w:style w:type="character" w:customStyle="1" w:styleId="8">
    <w:name w:val="Текст выноски Знак"/>
    <w:basedOn w:val="2"/>
    <w:link w:val="5"/>
    <w:semiHidden/>
    <w:qFormat/>
    <w:uiPriority w:val="99"/>
    <w:rPr>
      <w:rFonts w:ascii="Segoe UI" w:hAnsi="Segoe UI" w:eastAsia="Times New Roman" w:cs="Segoe UI"/>
      <w:sz w:val="18"/>
      <w:szCs w:val="18"/>
      <w:lang w:val="ru-RU"/>
    </w:rPr>
  </w:style>
  <w:style w:type="paragraph" w:customStyle="1" w:styleId="9">
    <w:name w:val="docdata"/>
    <w:basedOn w:val="1"/>
    <w:qFormat/>
    <w:uiPriority w:val="0"/>
    <w:pPr>
      <w:spacing w:before="100" w:beforeAutospacing="1" w:after="100" w:afterAutospacing="1"/>
    </w:pPr>
  </w:style>
  <w:style w:type="character" w:customStyle="1" w:styleId="10">
    <w:name w:val="2262"/>
    <w:basedOn w:val="2"/>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E597-B554-4B67-B8D7-3FC6D5DBBCD5}">
  <ds:schemaRefs/>
</ds:datastoreItem>
</file>

<file path=docProps/app.xml><?xml version="1.0" encoding="utf-8"?>
<Properties xmlns="http://schemas.openxmlformats.org/officeDocument/2006/extended-properties" xmlns:vt="http://schemas.openxmlformats.org/officeDocument/2006/docPropsVTypes">
  <Template>Normal</Template>
  <Pages>1</Pages>
  <Words>3535</Words>
  <Characters>2016</Characters>
  <Lines>16</Lines>
  <Paragraphs>11</Paragraphs>
  <TotalTime>3</TotalTime>
  <ScaleCrop>false</ScaleCrop>
  <LinksUpToDate>false</LinksUpToDate>
  <CharactersWithSpaces>5540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2023-11-10T06:18:00Z</dcterms:created>
  <dc:creator>Yana</dc:creator>
  <cp:lastModifiedBy>WPS_1706794706</cp:lastModifiedBy>
  <cp:lastPrinted>2023-03-03T08:29:00Z</cp:lastPrinted>
  <dcterms:modified xsi:type="dcterms:W3CDTF">2024-02-13T12:45:15Z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70FE846282DA4538BC7AE0CFE7ACF641_13</vt:lpwstr>
  </property>
</Properties>
</file>