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b/>
          <w:bCs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b/>
          <w:i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Вивчивши тендерну документацію на закупівлю: </w:t>
      </w:r>
      <w:r>
        <w:rPr>
          <w:rFonts w:ascii="Cambria" w:hAnsi="Cambria" w:eastAsia="Times New Roman" w:cs="Times New Roman"/>
          <w:b/>
          <w:i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b w:val="0"/>
          <w:bCs w:val="0"/>
          <w:lang w:val="uk-UA" w:eastAsia="ar-SA"/>
        </w:rPr>
      </w:pPr>
    </w:p>
    <w:tbl>
      <w:tblPr>
        <w:tblStyle w:val="3"/>
        <w:tblW w:w="1112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85"/>
        <w:gridCol w:w="3661"/>
        <w:gridCol w:w="927"/>
        <w:gridCol w:w="737"/>
        <w:gridCol w:w="995"/>
        <w:gridCol w:w="791"/>
        <w:gridCol w:w="709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Міжнародна непатентована назва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Од.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вим.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Кіль-кість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/>
                <w:b w:val="0"/>
                <w:bCs w:val="0"/>
                <w:lang w:val="uk-UA" w:eastAsia="ru-RU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грн., без ПДВ*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/>
                <w:b w:val="0"/>
                <w:bCs w:val="0"/>
                <w:lang w:val="uk-UA" w:eastAsia="ru-RU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ascii="Cambria" w:hAnsi="Cambria"/>
                <w:b w:val="0"/>
                <w:bCs w:val="0"/>
                <w:lang w:val="uk-UA" w:eastAsia="ru-RU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 xml:space="preserve">грн., 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з ПДВ*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ascii="Cambria" w:hAnsi="Cambria"/>
                <w:b w:val="0"/>
                <w:bCs w:val="0"/>
                <w:lang w:val="uk-UA" w:eastAsia="ru-RU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Сума, грн., без ПДВ*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lang w:val="uk-UA" w:eastAsia="ru-RU"/>
              </w:rPr>
              <w:t>Сума, грн., з ПДВ*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Clozapine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АЗАПІН. Таблетки по 25 мг № 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Chlorpromazine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АМІНАЗИН-ЗДОРОВ'Я. таблетки, вкриті плівковою оболонкою, по 25 мг, по 20 таблеток у блістері; по 1 блістеру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Amitriptyline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АМІТРИПТИЛІНУ ГІДРОХЛОРИД.Таблетки по 25 мг № 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Aripiprazole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АРІЛЕНТАЛ. Таблетки по 10 мг по 7 таблеток у блістері; по 4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ВАЛЬПРОКОМ 300 ХРОНО. Таблетки, вкриті плівковою оболонкою, пролонгованої дії по 300 мг № 100 (10х10) у блістерах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ВАЛЬПРОКОМ 500 ХРОНО. таблетки, вкриті плівковою оболонкою, пролонгованої дії по 500 мг; по 10 таблеток у блістері; по 6 блістерів в картонній пачці*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ГАЛОПРИЛ ФОРТЕ.Таблетки по 5 мг № 50 (10х5) у блістерах в коробці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ДЕПАКІН®. Сироп, 57,64 мг/1 мл по 150 мл у флаконах № 1 з дозуючим пристроєм з пробкою-адаптором в картонній коробці*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ДЕПАКІН® ЕНТЕРІК 300. Таблетки, вкриті оболонкою, кишковорозчинні по 300 мг № 100* (10х10)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Valproic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ДЕПАКІН ХРОНО® 500 мг. Таблетки, вкриті оболонкою, пролонгованої дії ділимі, по 500 мг № 30*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ЗОРЕСАН®. капсули тверді по 50 мг, по 10 капсул у блістері, по 3 блістера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200 мг по 10 таблеток у блістері, по 3 блістери у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100 мг по 10 таблеток у блістері, по 3 блістери у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Quetiapine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КВЕТИКСОЛ. Таблетки, вкриті плівковою оболонкою, по 25 мг по 10 таблеток у блістері, по 3 блістери у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25 мг; по 10 таблеток у блістері; по 6 блістерів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50 мг; по 10 таблеток у блістері; по 6 блістерів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Lamotrigine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ЛАНІСТОР. таблетки по 100 мг; по 10 таблеток у блістері; по 6 блістерів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ЛОГУФЕН®. таблетки, вкриті плівковою оболонкою, по 250 мг по 10 таблеток у блістері, по 6 блістерів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Levetiracetam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ЛОГУФЕН®. таблетки, вкриті плівковою оболонкою, по 500 мг по 10 таблеток у блістері, по 6 блістерів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МІАСЕР®. Таблетки, вкриті плівковою оболонкою, по 30 мг по 10 таблеток у блістерах; по 2 блістери в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Carbamazepine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МЕЗАКАР®. Таблетки по 200 мг № 50 (10х5)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Gabapentin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НЬЮРОПЕНТИН®.Капсули тверді по 300 мг № 100 (10х10)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Risperidone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РИСПЕРОН®. Таблетки, вкриті плівковою оболонкою, по 2 мг по 10 таблеток блістері, по 3 блістери у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Thioridazine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СОНАПАКС® 25 МГ . таблетки, вкриті оболонкою, по 25 мг по 20 таблеток у блістері; по 3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Thioridazine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СОНАПАКС® 10 МГ. таблетки, вкриті оболонкою, по 10 мг по 30 таблеток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Levomepromazine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ТИЗЕРЦИН®. Таблетки, вкриті плівковою оболонкою, по 25 мг по 50 таблеток у флаконі; по 1 флакону в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Разом без ПДВ: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Разом з 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uk-UA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037B2"/>
    <w:rsid w:val="00033091"/>
    <w:rsid w:val="001028A8"/>
    <w:rsid w:val="004114B5"/>
    <w:rsid w:val="00444965"/>
    <w:rsid w:val="004A0BB0"/>
    <w:rsid w:val="004D1EBC"/>
    <w:rsid w:val="004D3E41"/>
    <w:rsid w:val="005849E2"/>
    <w:rsid w:val="00595488"/>
    <w:rsid w:val="005F069E"/>
    <w:rsid w:val="00707BB6"/>
    <w:rsid w:val="00763720"/>
    <w:rsid w:val="00966561"/>
    <w:rsid w:val="00A10288"/>
    <w:rsid w:val="00A6231F"/>
    <w:rsid w:val="00AD1CAA"/>
    <w:rsid w:val="00B326BF"/>
    <w:rsid w:val="00BA34E4"/>
    <w:rsid w:val="00BF132E"/>
    <w:rsid w:val="00CA6C74"/>
    <w:rsid w:val="00D228AC"/>
    <w:rsid w:val="00D43D00"/>
    <w:rsid w:val="00D510FC"/>
    <w:rsid w:val="00D83AC7"/>
    <w:rsid w:val="00DF767B"/>
    <w:rsid w:val="00E66EE8"/>
    <w:rsid w:val="00F828F8"/>
    <w:rsid w:val="00FA2DD7"/>
    <w:rsid w:val="18BC3139"/>
    <w:rsid w:val="1FFD1978"/>
    <w:rsid w:val="262506F6"/>
    <w:rsid w:val="30816F09"/>
    <w:rsid w:val="37482F08"/>
    <w:rsid w:val="3C23692B"/>
    <w:rsid w:val="49C65885"/>
    <w:rsid w:val="4E8657A7"/>
    <w:rsid w:val="50D50942"/>
    <w:rsid w:val="5689506C"/>
    <w:rsid w:val="59D32E75"/>
    <w:rsid w:val="5DA547DF"/>
    <w:rsid w:val="61AD6BC3"/>
    <w:rsid w:val="62FA5A0F"/>
    <w:rsid w:val="63541D49"/>
    <w:rsid w:val="68375792"/>
    <w:rsid w:val="7A6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2275</Words>
  <Characters>1297</Characters>
  <Lines>10</Lines>
  <Paragraphs>7</Paragraphs>
  <TotalTime>1</TotalTime>
  <ScaleCrop>false</ScaleCrop>
  <LinksUpToDate>false</LinksUpToDate>
  <CharactersWithSpaces>3565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2024-02-13T13:15:07Z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DAFF68EBBFE54949ABF52488087F4720_13</vt:lpwstr>
  </property>
</Properties>
</file>