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91" w:rsidRDefault="001A4B9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4B91" w:rsidRDefault="001A4B9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4B91" w:rsidRPr="00044713" w:rsidRDefault="00A3697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:rsidR="001A4B91" w:rsidRPr="00044713" w:rsidRDefault="00A3697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44713">
        <w:rPr>
          <w:rFonts w:ascii="Times New Roman" w:eastAsia="Times New Roman" w:hAnsi="Times New Roman" w:cs="Times New Roman"/>
          <w:i/>
          <w:sz w:val="20"/>
          <w:szCs w:val="20"/>
        </w:rPr>
        <w:t>до тендерної документації</w:t>
      </w:r>
    </w:p>
    <w:p w:rsidR="001A4B91" w:rsidRPr="00044713" w:rsidRDefault="00A3697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713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:rsidR="001A4B91" w:rsidRPr="00044713" w:rsidRDefault="00A3697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Перелік документів та інформації  для </w:t>
      </w:r>
      <w:proofErr w:type="gramStart"/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1A4B91" w:rsidRPr="00044713" w:rsidRDefault="001A4B9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1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400"/>
      </w:tblPr>
      <w:tblGrid>
        <w:gridCol w:w="448"/>
        <w:gridCol w:w="1721"/>
        <w:gridCol w:w="7450"/>
      </w:tblGrid>
      <w:tr w:rsidR="001A4B91" w:rsidRPr="00044713">
        <w:trPr>
          <w:trHeight w:val="690"/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B91" w:rsidRPr="00044713" w:rsidRDefault="00A369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B91" w:rsidRPr="00044713" w:rsidRDefault="00A369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B91" w:rsidRPr="00044713" w:rsidRDefault="00A369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Документи та інформація, які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1A4B91" w:rsidRPr="00044713">
        <w:trPr>
          <w:trHeight w:val="2855"/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1A4B91" w:rsidRPr="00044713" w:rsidRDefault="00A3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</w:p>
          <w:p w:rsidR="001A4B91" w:rsidRPr="00044713" w:rsidRDefault="001A4B91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Приклад:</w:t>
            </w:r>
          </w:p>
          <w:p w:rsidR="001A4B91" w:rsidRPr="00044713" w:rsidRDefault="00A36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 Довідка в довільній формі про наявність обладнання, матеріально-технічної бази та технологій, необхідних для надання послуг / виконання робіт /поставки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1A4B91" w:rsidRPr="00044713" w:rsidRDefault="00A3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договір найму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 </w:t>
            </w: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інформації стосовно наявності технологій, необхідних для надання послуг / виконання робіт / поставки товару, визначених у технічних вимогах, учасник повинен надати інформацію про патент або наявність ліцензії, або інший документ, що підтверджує право використання учасником технологій, визначених у технічних вимогах до предмета закупівлі.  </w:t>
            </w:r>
          </w:p>
        </w:tc>
      </w:tr>
      <w:tr w:rsidR="001A4B91" w:rsidRPr="00044713">
        <w:trPr>
          <w:trHeight w:val="2255"/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Наявність працівників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ідповідної кваліфікації, які мають необхідні знання та досвід*</w:t>
            </w:r>
          </w:p>
          <w:p w:rsidR="001A4B91" w:rsidRPr="00044713" w:rsidRDefault="00A3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447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ід час закупівлі робіт або послуг у разі встановлення кваліфікаційного критерію, такого як наявність обладнання, </w:t>
            </w:r>
            <w:r w:rsidRPr="000447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2.1. Довідка про наявність працівників відповідної кваліфікації, які мають необхідні знання та досвід, за формою </w:t>
            </w: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Таблиці 1.</w:t>
            </w:r>
          </w:p>
          <w:p w:rsidR="001A4B91" w:rsidRPr="00044713" w:rsidRDefault="00A3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Таблиця 1  </w:t>
            </w:r>
          </w:p>
          <w:tbl>
            <w:tblPr>
              <w:tblW w:w="6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3" w:type="dxa"/>
              </w:tblCellMar>
              <w:tblLook w:val="0400"/>
            </w:tblPr>
            <w:tblGrid>
              <w:gridCol w:w="537"/>
              <w:gridCol w:w="1365"/>
              <w:gridCol w:w="1083"/>
              <w:gridCol w:w="2749"/>
              <w:gridCol w:w="1516"/>
            </w:tblGrid>
            <w:tr w:rsidR="001A4B91" w:rsidRPr="00044713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4B91" w:rsidRPr="00044713" w:rsidRDefault="00A36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47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Довідка про наявність працівників </w:t>
                  </w:r>
                  <w:proofErr w:type="gramStart"/>
                  <w:r w:rsidRPr="000447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</w:t>
                  </w:r>
                  <w:proofErr w:type="gramEnd"/>
                  <w:r w:rsidRPr="000447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ідповідної кваліфікації, які мають необхідні знання та досвід</w:t>
                  </w:r>
                </w:p>
              </w:tc>
            </w:tr>
            <w:tr w:rsidR="001A4B91" w:rsidRPr="00044713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4B91" w:rsidRPr="00044713" w:rsidRDefault="00A36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447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0447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4B91" w:rsidRPr="00044713" w:rsidRDefault="00A36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47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Кваліфікація/</w:t>
                  </w:r>
                </w:p>
                <w:p w:rsidR="001A4B91" w:rsidRPr="00044713" w:rsidRDefault="00A36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47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4B91" w:rsidRPr="00044713" w:rsidRDefault="00A36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47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4B91" w:rsidRPr="00044713" w:rsidRDefault="00A36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47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Праці</w:t>
                  </w:r>
                  <w:proofErr w:type="gramStart"/>
                  <w:r w:rsidRPr="000447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вник учасника/***працівник</w:t>
                  </w:r>
                  <w:proofErr w:type="gramEnd"/>
                  <w:r w:rsidRPr="000447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субпідрядника/співвиконавця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4B91" w:rsidRPr="00044713" w:rsidRDefault="00A36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47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***Назва субпідрядника/ співвиконавця</w:t>
                  </w:r>
                </w:p>
              </w:tc>
            </w:tr>
            <w:tr w:rsidR="001A4B91" w:rsidRPr="00044713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4B91" w:rsidRPr="00044713" w:rsidRDefault="001A4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4B91" w:rsidRPr="00044713" w:rsidRDefault="001A4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4B91" w:rsidRPr="00044713" w:rsidRDefault="001A4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4B91" w:rsidRPr="00044713" w:rsidRDefault="001A4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4B91" w:rsidRPr="00044713" w:rsidRDefault="001A4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4B91" w:rsidRPr="00044713" w:rsidRDefault="00A3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***Заповнюється, якщо учасник планує залучити для підтвердження кваліфікації працівників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ідповідної кваліфікації, які мають необхідні знання та досвід, спроможності субпідрядника / співвиконавця.</w:t>
            </w:r>
          </w:p>
          <w:p w:rsidR="00A3697A" w:rsidRPr="00044713" w:rsidRDefault="00A3697A" w:rsidP="00A3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Обов’язкова наявність в учасника сертифікованого інженера з охорони праці (будівництво) не нижче 2-ї категорії. На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надається чинний сертифікат виданий відповідним органом із сертифікації персоналу будівельної </w:t>
            </w: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галузі акредитованим НААУ про відповідність вимогам стандарту СОУ-С-001:2016 «Процедура сертифікації фахівців будівельної галузі». </w:t>
            </w:r>
          </w:p>
          <w:p w:rsidR="001A4B91" w:rsidRPr="00044713" w:rsidRDefault="00A3697A" w:rsidP="00A3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Крім того, Учасник повинен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ідтвердити знання працівників надавши надати витяги з протоколів засідання комісії з перевірки знань правил безпечної, технічної експлуатації електроустановок споживачів (до та понад 1000 В) та копії відповідних посвідчень  (не менше 2 працівників)</w:t>
            </w:r>
          </w:p>
          <w:p w:rsidR="001A4B91" w:rsidRPr="00044713" w:rsidRDefault="001A4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B91" w:rsidRPr="00044713">
        <w:trPr>
          <w:trHeight w:val="2255"/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Наявність документально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 На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1A4B91" w:rsidRPr="00044713" w:rsidRDefault="00A3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і договору (договорів)  (не менше одного договору).</w:t>
            </w:r>
          </w:p>
          <w:p w:rsidR="00A3697A" w:rsidRPr="00044713" w:rsidRDefault="00A3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A4B91" w:rsidRPr="00044713" w:rsidRDefault="00A3697A">
            <w:pPr>
              <w:spacing w:after="0" w:line="240" w:lineRule="auto"/>
              <w:jc w:val="both"/>
            </w:pPr>
            <w:r w:rsidRPr="000447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Аналогічним вважається догові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відповідно до як</w:t>
            </w:r>
            <w:r w:rsidRPr="000447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ого</w:t>
            </w:r>
            <w:r w:rsidRPr="000447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бул</w:t>
            </w:r>
            <w:r w:rsidRPr="000447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о</w:t>
            </w:r>
            <w:r w:rsidRPr="000447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виконан</w:t>
            </w:r>
            <w:r w:rsidRPr="000447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о</w:t>
            </w:r>
            <w:r w:rsidRPr="000447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роботи з замінай насосного агрегату.</w:t>
            </w:r>
          </w:p>
          <w:p w:rsidR="001A4B91" w:rsidRPr="00044713" w:rsidRDefault="00A3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3.1.2. не менше 1 копії договору, зазначеного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в дов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ідці в повному обсязі,</w:t>
            </w:r>
          </w:p>
          <w:p w:rsidR="001A4B91" w:rsidRPr="00044713" w:rsidRDefault="00A3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3.1.3. копії/ю документів/а на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виконання не менше ніж одного договору, зазначеного в наданій Учасником довідці. </w:t>
            </w:r>
          </w:p>
          <w:p w:rsidR="001A4B91" w:rsidRPr="00044713" w:rsidRDefault="001A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4B91" w:rsidRPr="00044713" w:rsidRDefault="00A3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дія якого не закінчена.</w:t>
            </w:r>
          </w:p>
        </w:tc>
      </w:tr>
      <w:tr w:rsidR="001A4B91" w:rsidRPr="00044713">
        <w:trPr>
          <w:trHeight w:val="815"/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 фінансової спроможності*</w:t>
            </w:r>
          </w:p>
          <w:p w:rsidR="001A4B91" w:rsidRPr="00044713" w:rsidRDefault="00A3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 Замовник не  вимагає надання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4.1. ___________________ (</w:t>
            </w: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</w:t>
            </w: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самостійно визначає спосіб документального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відповідності цьому кваліфікаційному критерію)</w:t>
            </w:r>
          </w:p>
          <w:p w:rsidR="001A4B91" w:rsidRPr="00044713" w:rsidRDefault="001A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4B91" w:rsidRPr="00044713" w:rsidRDefault="00A3697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713">
        <w:rPr>
          <w:rFonts w:ascii="Times New Roman" w:eastAsia="Times New Roman" w:hAnsi="Times New Roman" w:cs="Times New Roman"/>
          <w:i/>
          <w:sz w:val="20"/>
          <w:szCs w:val="20"/>
        </w:rPr>
        <w:t xml:space="preserve">**У разі участі об’єднання учасників </w:t>
      </w:r>
      <w:proofErr w:type="gramStart"/>
      <w:r w:rsidRPr="00044713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044713">
        <w:rPr>
          <w:rFonts w:ascii="Times New Roman" w:eastAsia="Times New Roman" w:hAnsi="Times New Roman" w:cs="Times New Roman"/>
          <w:i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A4B91" w:rsidRPr="00044713" w:rsidRDefault="001A4B9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1A4B91" w:rsidRPr="00044713" w:rsidRDefault="00A3697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>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1A4B91" w:rsidRPr="00044713" w:rsidRDefault="00A3697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713"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 w:rsidRPr="00044713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044713"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1A4B91" w:rsidRPr="00044713" w:rsidRDefault="00A3697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713"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 w:rsidRPr="00044713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044713">
        <w:rPr>
          <w:rFonts w:ascii="Times New Roman" w:eastAsia="Times New Roman" w:hAnsi="Times New Roman" w:cs="Times New Roman"/>
          <w:sz w:val="20"/>
          <w:szCs w:val="20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1A4B91" w:rsidRPr="00044713" w:rsidRDefault="00A3697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713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 / співвиконавців </w:t>
      </w:r>
      <w:proofErr w:type="gramStart"/>
      <w:r w:rsidRPr="00044713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044713"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Закону, замовник перевіряє таких суб’єктів господарювання на відсутність </w:t>
      </w:r>
      <w:proofErr w:type="gramStart"/>
      <w:r w:rsidRPr="00044713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044713">
        <w:rPr>
          <w:rFonts w:ascii="Times New Roman" w:eastAsia="Times New Roman" w:hAnsi="Times New Roman" w:cs="Times New Roman"/>
          <w:sz w:val="20"/>
          <w:szCs w:val="20"/>
        </w:rPr>
        <w:t>ідстав (у разі застосування до учасника процедури закупівлі), визначених у частині першій статті 17 Закону (крім пункту 13 частини першої статті 17 Закону).</w:t>
      </w:r>
    </w:p>
    <w:p w:rsidR="001A4B91" w:rsidRPr="00044713" w:rsidRDefault="00A3697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 xml:space="preserve">3. Перелік документів та інформації  для </w:t>
      </w:r>
      <w:proofErr w:type="gramStart"/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1A4B91" w:rsidRPr="00044713" w:rsidRDefault="00A3697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4713">
        <w:rPr>
          <w:rFonts w:ascii="Times New Roman" w:eastAsia="Times New Roman" w:hAnsi="Times New Roman" w:cs="Times New Roman"/>
          <w:sz w:val="20"/>
          <w:szCs w:val="20"/>
        </w:rPr>
        <w:t>Замовник зобов’язаний відхилити тендерну пропозицію переможця процедури закупі</w:t>
      </w:r>
      <w:proofErr w:type="gramStart"/>
      <w:r w:rsidRPr="00044713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044713">
        <w:rPr>
          <w:rFonts w:ascii="Times New Roman" w:eastAsia="Times New Roman" w:hAnsi="Times New Roman" w:cs="Times New Roman"/>
          <w:sz w:val="20"/>
          <w:szCs w:val="20"/>
        </w:rPr>
        <w:t>і в разі, коли наявні підстави, визначені статтею 17 Закону (крім пункту 13 частини першої статті 17 Закону).</w:t>
      </w:r>
    </w:p>
    <w:p w:rsidR="001A4B91" w:rsidRPr="00044713" w:rsidRDefault="00A3697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>Переможець процедури закупі</w:t>
      </w:r>
      <w:proofErr w:type="gramStart"/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</w:t>
      </w:r>
      <w:proofErr w:type="gramStart"/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статті 17 Закону. </w:t>
      </w:r>
    </w:p>
    <w:p w:rsidR="001A4B91" w:rsidRPr="00044713" w:rsidRDefault="00A3697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1A4B91" w:rsidRPr="00044713" w:rsidRDefault="001A4B91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4B91" w:rsidRPr="00044713" w:rsidRDefault="001A4B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4B91" w:rsidRPr="00044713" w:rsidRDefault="00A369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4713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 xml:space="preserve">3.1. Документи, які надаються  ПЕРЕМОЖЦЕМ (юридичною </w:t>
      </w:r>
      <w:proofErr w:type="gramStart"/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>особою</w:t>
      </w:r>
      <w:proofErr w:type="gramEnd"/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W w:w="961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400"/>
      </w:tblPr>
      <w:tblGrid>
        <w:gridCol w:w="764"/>
        <w:gridCol w:w="4350"/>
        <w:gridCol w:w="4504"/>
      </w:tblGrid>
      <w:tr w:rsidR="001A4B91" w:rsidRPr="00044713">
        <w:trPr>
          <w:trHeight w:val="1005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A4B91" w:rsidRPr="00044713" w:rsidRDefault="00A3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статті 17 Закону</w:t>
            </w:r>
          </w:p>
          <w:p w:rsidR="001A4B91" w:rsidRPr="00044713" w:rsidRDefault="001A4B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1A4B91" w:rsidRPr="00044713">
        <w:trPr>
          <w:trHeight w:val="1723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1A4B91" w:rsidRPr="00044713" w:rsidRDefault="00A3697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службової (посадової) особи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1A4B91" w:rsidRPr="00044713">
        <w:trPr>
          <w:trHeight w:val="2152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Службова (посадова) особа учасника процедури закупі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службової (посадової) особи учасника процедури </w:t>
            </w: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закупівлі, яка підписала тендерну пропозицію. </w:t>
            </w: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1A4B91" w:rsidRPr="00044713">
        <w:trPr>
          <w:trHeight w:val="2535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1A4B9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B91" w:rsidRPr="00044713">
        <w:trPr>
          <w:trHeight w:val="862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</w:t>
            </w:r>
          </w:p>
          <w:p w:rsidR="001A4B91" w:rsidRPr="00044713" w:rsidRDefault="00A3697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1A4B91" w:rsidRPr="00044713" w:rsidRDefault="001A4B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4B91" w:rsidRPr="00044713" w:rsidRDefault="00A3697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W w:w="961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400"/>
      </w:tblPr>
      <w:tblGrid>
        <w:gridCol w:w="586"/>
        <w:gridCol w:w="4427"/>
        <w:gridCol w:w="4606"/>
      </w:tblGrid>
      <w:tr w:rsidR="001A4B91" w:rsidRPr="00044713">
        <w:trPr>
          <w:trHeight w:val="82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A4B91" w:rsidRPr="00044713" w:rsidRDefault="00A3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статті 17 Закону</w:t>
            </w:r>
          </w:p>
          <w:p w:rsidR="001A4B91" w:rsidRPr="00044713" w:rsidRDefault="001A4B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1A4B91" w:rsidRPr="00044713">
        <w:trPr>
          <w:trHeight w:val="17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1A4B91" w:rsidRPr="00044713" w:rsidRDefault="00A3697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1A4B91" w:rsidRPr="00044713">
        <w:trPr>
          <w:trHeight w:val="2152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1A4B91" w:rsidRPr="00044713" w:rsidRDefault="00A3697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повинен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1A4B91" w:rsidRPr="00044713">
        <w:trPr>
          <w:trHeight w:val="163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і людьми</w:t>
            </w:r>
          </w:p>
          <w:p w:rsidR="001A4B91" w:rsidRPr="00044713" w:rsidRDefault="00A3697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1A4B9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B91" w:rsidRPr="00044713">
        <w:trPr>
          <w:trHeight w:val="862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</w:t>
            </w:r>
          </w:p>
          <w:p w:rsidR="001A4B91" w:rsidRPr="00044713" w:rsidRDefault="00A3697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1A4B91" w:rsidRPr="00044713" w:rsidRDefault="00A3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471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A4B91" w:rsidRPr="00044713" w:rsidRDefault="00A3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 xml:space="preserve">4. Інша інформація встановлена відповідно до законодавства (для УЧАСНИКІВ — юридичних осіб, фізичних осіб та фізичних осіб — </w:t>
      </w:r>
      <w:proofErr w:type="gramStart"/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044713">
        <w:rPr>
          <w:rFonts w:ascii="Times New Roman" w:eastAsia="Times New Roman" w:hAnsi="Times New Roman" w:cs="Times New Roman"/>
          <w:b/>
          <w:sz w:val="20"/>
          <w:szCs w:val="20"/>
        </w:rPr>
        <w:t>ідприємців).</w:t>
      </w:r>
    </w:p>
    <w:tbl>
      <w:tblPr>
        <w:tblW w:w="961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400"/>
      </w:tblPr>
      <w:tblGrid>
        <w:gridCol w:w="400"/>
        <w:gridCol w:w="9219"/>
      </w:tblGrid>
      <w:tr w:rsidR="001A4B91" w:rsidRPr="00044713">
        <w:trPr>
          <w:trHeight w:val="124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A4B91" w:rsidRPr="00044713" w:rsidRDefault="00A369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Інші документи від Учасника:</w:t>
            </w:r>
          </w:p>
        </w:tc>
      </w:tr>
      <w:tr w:rsidR="001A4B91" w:rsidRPr="00044713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1A4B91" w:rsidRPr="0004471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як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0447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1A4B91" w:rsidRPr="0004471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1A4B9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1A4B9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B9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Pr="00044713" w:rsidRDefault="00A3697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B91" w:rsidRDefault="00A3697A">
            <w:pPr>
              <w:spacing w:after="0" w:line="240" w:lineRule="auto"/>
              <w:ind w:left="140" w:right="140"/>
              <w:jc w:val="both"/>
            </w:pPr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Якщо вартість закупі</w:t>
            </w:r>
            <w:proofErr w:type="gramStart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товару (товарів), послуги (послуг) або робіт дорівнює чи перевищує 20 мільйонів гривень (у тому числі за лотом) тоді надається антикорупційна програма, оформлена відповідно до типової антикорупційної програми юридичної особи за </w:t>
            </w:r>
            <w:hyperlink r:id="rId7">
              <w:r w:rsidRPr="00044713">
                <w:rPr>
                  <w:rStyle w:val="ListLabel1"/>
                  <w:rFonts w:eastAsia="Calibri"/>
                </w:rPr>
                <w:t>Наказом № 794/21</w:t>
              </w:r>
            </w:hyperlink>
            <w:r w:rsidRPr="00044713">
              <w:rPr>
                <w:rFonts w:ascii="Times New Roman" w:eastAsia="Times New Roman" w:hAnsi="Times New Roman" w:cs="Times New Roman"/>
                <w:sz w:val="20"/>
                <w:szCs w:val="20"/>
              </w:rPr>
              <w:t>,  та відповідний наказ про затвердження антикорупційної програми та призначення уповноваженого з її реалізації.</w:t>
            </w:r>
          </w:p>
        </w:tc>
      </w:tr>
    </w:tbl>
    <w:p w:rsidR="001A4B91" w:rsidRDefault="001A4B91">
      <w:pPr>
        <w:spacing w:after="0" w:line="240" w:lineRule="auto"/>
      </w:pPr>
    </w:p>
    <w:sectPr w:rsidR="001A4B91" w:rsidSect="00A412DD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47F"/>
    <w:multiLevelType w:val="multilevel"/>
    <w:tmpl w:val="B192C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E8F1B0B"/>
    <w:multiLevelType w:val="multilevel"/>
    <w:tmpl w:val="65F26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A4B91"/>
    <w:rsid w:val="00044713"/>
    <w:rsid w:val="001A4B91"/>
    <w:rsid w:val="00A3697A"/>
    <w:rsid w:val="00A4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79"/>
    <w:pPr>
      <w:spacing w:after="160" w:line="259" w:lineRule="auto"/>
    </w:pPr>
  </w:style>
  <w:style w:type="paragraph" w:styleId="1">
    <w:name w:val="heading 1"/>
    <w:next w:val="LO-normal"/>
    <w:qFormat/>
    <w:rsid w:val="002D2479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next w:val="LO-normal"/>
    <w:qFormat/>
    <w:rsid w:val="002D2479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next w:val="LO-normal"/>
    <w:qFormat/>
    <w:rsid w:val="002D2479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next w:val="LO-normal"/>
    <w:qFormat/>
    <w:rsid w:val="002D2479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next w:val="LO-normal"/>
    <w:qFormat/>
    <w:rsid w:val="002D2479"/>
    <w:pPr>
      <w:keepNext/>
      <w:keepLines/>
      <w:widowControl w:val="0"/>
      <w:spacing w:before="220" w:after="40"/>
      <w:outlineLvl w:val="4"/>
    </w:pPr>
    <w:rPr>
      <w:b/>
    </w:rPr>
  </w:style>
  <w:style w:type="paragraph" w:styleId="6">
    <w:name w:val="heading 6"/>
    <w:next w:val="LO-normal"/>
    <w:qFormat/>
    <w:rsid w:val="002D2479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character" w:customStyle="1" w:styleId="ListLabel1">
    <w:name w:val="ListLabel 1"/>
    <w:qFormat/>
    <w:rsid w:val="00A412DD"/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Заголовок"/>
    <w:basedOn w:val="a"/>
    <w:next w:val="a4"/>
    <w:qFormat/>
    <w:rsid w:val="00A412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412DD"/>
    <w:pPr>
      <w:spacing w:after="140" w:line="276" w:lineRule="auto"/>
    </w:pPr>
  </w:style>
  <w:style w:type="paragraph" w:styleId="a5">
    <w:name w:val="List"/>
    <w:basedOn w:val="a4"/>
    <w:rsid w:val="00A412DD"/>
    <w:rPr>
      <w:rFonts w:cs="Arial"/>
    </w:rPr>
  </w:style>
  <w:style w:type="paragraph" w:styleId="a6">
    <w:name w:val="caption"/>
    <w:basedOn w:val="a"/>
    <w:qFormat/>
    <w:rsid w:val="00A412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412DD"/>
    <w:pPr>
      <w:suppressLineNumbers/>
    </w:pPr>
    <w:rPr>
      <w:rFonts w:cs="Arial"/>
    </w:rPr>
  </w:style>
  <w:style w:type="paragraph" w:customStyle="1" w:styleId="LO-normal">
    <w:name w:val="LO-normal"/>
    <w:qFormat/>
    <w:rsid w:val="002D2479"/>
  </w:style>
  <w:style w:type="paragraph" w:styleId="a8">
    <w:name w:val="Title"/>
    <w:basedOn w:val="LO-normal"/>
    <w:next w:val="LO-normal"/>
    <w:qFormat/>
    <w:rsid w:val="002D2479"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b">
    <w:name w:val="Subtitle"/>
    <w:basedOn w:val="LO-normal"/>
    <w:next w:val="LO-normal"/>
    <w:qFormat/>
    <w:rsid w:val="002D24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D247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radnuk.com.ua/pravova-baza/pro-zatverdzhennia-typovoi-antykoruptsijnoi-prohramy-iurydychnoi-osob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RCnBnaeyuPAuMXC5XyLMhmRdj1g==">AMUW2mX7gmiJD+dnXpQJiiqR+qqH1tqJdpL5cUlXu5kyJ5A8bVXHYlTaN6rxkWy4gdWn+lIzFtulO1u6/WaEgfq85piLIBk06Np/Lhh5gFH75I8ARnl2fgB0RacsBVzSeOB5J5OBVMzUIhhPPcifGf8kckKzrA+LRSQrzBeHpdx56eZxa8jLQMxlOYyg2guNlMWPXy5+mVIb3Nf3QvKdg+/Iv6PZNBYE+Q==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7E5808-A882-4B0D-A497-8548EFD4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dc:description/>
  <cp:lastModifiedBy>TND33</cp:lastModifiedBy>
  <cp:revision>8</cp:revision>
  <dcterms:created xsi:type="dcterms:W3CDTF">2023-01-11T08:09:00Z</dcterms:created>
  <dcterms:modified xsi:type="dcterms:W3CDTF">2023-02-27T07:48:00Z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