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8A" w:rsidRPr="00A0118A" w:rsidRDefault="00A0118A" w:rsidP="00A0118A">
      <w:pPr>
        <w:spacing w:after="0" w:line="240" w:lineRule="auto"/>
        <w:jc w:val="right"/>
        <w:rPr>
          <w:rFonts w:ascii="Times New Roman" w:eastAsia="Times New Roman" w:hAnsi="Times New Roman"/>
          <w:sz w:val="28"/>
          <w:szCs w:val="28"/>
          <w:lang w:eastAsia="ru-RU"/>
        </w:rPr>
      </w:pPr>
      <w:r w:rsidRPr="00A0118A">
        <w:rPr>
          <w:rFonts w:ascii="Times New Roman" w:eastAsia="Times New Roman" w:hAnsi="Times New Roman"/>
          <w:sz w:val="28"/>
          <w:szCs w:val="28"/>
          <w:lang w:eastAsia="ru-RU"/>
        </w:rPr>
        <w:t>ДОДАТОК 4</w:t>
      </w:r>
    </w:p>
    <w:p w:rsidR="00A0118A" w:rsidRPr="00A0118A" w:rsidRDefault="00A0118A" w:rsidP="00A0118A">
      <w:pPr>
        <w:spacing w:after="0" w:line="240" w:lineRule="auto"/>
        <w:jc w:val="right"/>
        <w:rPr>
          <w:rFonts w:ascii="Times New Roman" w:eastAsia="Times New Roman" w:hAnsi="Times New Roman"/>
          <w:sz w:val="28"/>
          <w:szCs w:val="28"/>
          <w:lang w:eastAsia="ru-RU"/>
        </w:rPr>
      </w:pPr>
      <w:r w:rsidRPr="00A0118A">
        <w:rPr>
          <w:rFonts w:ascii="Times New Roman" w:eastAsia="Times New Roman" w:hAnsi="Times New Roman"/>
          <w:sz w:val="28"/>
          <w:szCs w:val="28"/>
          <w:lang w:eastAsia="ru-RU"/>
        </w:rPr>
        <w:t>тендерної документації</w:t>
      </w:r>
    </w:p>
    <w:p w:rsidR="00776B5F" w:rsidRDefault="00776B5F" w:rsidP="00F87F4E">
      <w:pPr>
        <w:spacing w:after="0" w:line="240" w:lineRule="auto"/>
        <w:jc w:val="center"/>
        <w:rPr>
          <w:rFonts w:ascii="Times New Roman" w:eastAsia="Times New Roman" w:hAnsi="Times New Roman"/>
          <w:b/>
          <w:sz w:val="24"/>
          <w:szCs w:val="24"/>
          <w:lang w:eastAsia="ru-RU"/>
        </w:rPr>
      </w:pPr>
    </w:p>
    <w:p w:rsidR="00F87F4E" w:rsidRPr="00F87F4E" w:rsidRDefault="00F87F4E" w:rsidP="00F87F4E">
      <w:pPr>
        <w:spacing w:after="0" w:line="240" w:lineRule="auto"/>
        <w:jc w:val="center"/>
        <w:rPr>
          <w:rFonts w:ascii="Times New Roman" w:eastAsia="Times New Roman" w:hAnsi="Times New Roman"/>
          <w:b/>
          <w:sz w:val="24"/>
          <w:szCs w:val="24"/>
          <w:lang w:eastAsia="ru-RU"/>
        </w:rPr>
      </w:pPr>
      <w:r w:rsidRPr="00F87F4E">
        <w:rPr>
          <w:rFonts w:ascii="Times New Roman" w:eastAsia="Times New Roman" w:hAnsi="Times New Roman"/>
          <w:b/>
          <w:sz w:val="24"/>
          <w:szCs w:val="24"/>
          <w:lang w:eastAsia="ru-RU"/>
        </w:rPr>
        <w:t>Інформація про технічні, якісні та кількісні характеристики предмета закупівлі</w:t>
      </w:r>
    </w:p>
    <w:p w:rsidR="00F87F4E" w:rsidRPr="00F87F4E" w:rsidRDefault="00F87F4E" w:rsidP="00F87F4E">
      <w:pPr>
        <w:keepNext/>
        <w:keepLines/>
        <w:snapToGrid w:val="0"/>
        <w:spacing w:after="0" w:line="240" w:lineRule="auto"/>
        <w:ind w:right="-3"/>
        <w:jc w:val="both"/>
        <w:rPr>
          <w:rFonts w:ascii="Times New Roman" w:eastAsia="Times New Roman" w:hAnsi="Times New Roman"/>
          <w:bCs/>
          <w:kern w:val="1"/>
          <w:sz w:val="24"/>
          <w:szCs w:val="24"/>
          <w:lang w:eastAsia="ar-SA"/>
        </w:rPr>
      </w:pPr>
    </w:p>
    <w:p w:rsidR="00C641DE" w:rsidRPr="00C641DE" w:rsidRDefault="009E331D"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Гуртожиток № 1, м. Вінниця, вул. </w:t>
      </w:r>
      <w:r w:rsidR="009A4BD8">
        <w:rPr>
          <w:rFonts w:ascii="Times New Roman" w:eastAsia="Times New Roman" w:hAnsi="Times New Roman"/>
          <w:bCs/>
          <w:kern w:val="1"/>
          <w:sz w:val="24"/>
          <w:szCs w:val="24"/>
          <w:lang w:eastAsia="ar-SA"/>
        </w:rPr>
        <w:t xml:space="preserve">В. </w:t>
      </w:r>
      <w:bookmarkStart w:id="0" w:name="_GoBack"/>
      <w:bookmarkEnd w:id="0"/>
      <w:r>
        <w:rPr>
          <w:rFonts w:ascii="Times New Roman" w:eastAsia="Times New Roman" w:hAnsi="Times New Roman"/>
          <w:bCs/>
          <w:kern w:val="1"/>
          <w:sz w:val="24"/>
          <w:szCs w:val="24"/>
          <w:lang w:eastAsia="ar-SA"/>
        </w:rPr>
        <w:t>Чорновола, 3</w:t>
      </w:r>
    </w:p>
    <w:tbl>
      <w:tblPr>
        <w:tblStyle w:val="a7"/>
        <w:tblW w:w="9634" w:type="dxa"/>
        <w:tblLook w:val="04A0" w:firstRow="1" w:lastRow="0" w:firstColumn="1" w:lastColumn="0" w:noHBand="0" w:noVBand="1"/>
      </w:tblPr>
      <w:tblGrid>
        <w:gridCol w:w="704"/>
        <w:gridCol w:w="3119"/>
        <w:gridCol w:w="2407"/>
        <w:gridCol w:w="3404"/>
      </w:tblGrid>
      <w:tr w:rsidR="00C641DE" w:rsidRPr="00C641DE" w:rsidTr="009E09DF">
        <w:tc>
          <w:tcPr>
            <w:tcW w:w="704"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w:t>
            </w:r>
          </w:p>
        </w:tc>
        <w:tc>
          <w:tcPr>
            <w:tcW w:w="3119"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 xml:space="preserve">Адреса </w:t>
            </w:r>
          </w:p>
        </w:tc>
        <w:tc>
          <w:tcPr>
            <w:tcW w:w="2407"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ЕІС - коди точок обліку</w:t>
            </w:r>
          </w:p>
        </w:tc>
        <w:tc>
          <w:tcPr>
            <w:tcW w:w="3404"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Назва електророзподільної організації</w:t>
            </w:r>
          </w:p>
        </w:tc>
      </w:tr>
      <w:tr w:rsidR="00C641DE" w:rsidRPr="00C641DE" w:rsidTr="009E09DF">
        <w:tc>
          <w:tcPr>
            <w:tcW w:w="704"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1</w:t>
            </w:r>
          </w:p>
        </w:tc>
        <w:tc>
          <w:tcPr>
            <w:tcW w:w="3119"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м. Вінниця, вул. В’ячеслава Чорновола, 3.</w:t>
            </w:r>
          </w:p>
        </w:tc>
        <w:tc>
          <w:tcPr>
            <w:tcW w:w="2407"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62Z2449341682550</w:t>
            </w:r>
          </w:p>
        </w:tc>
        <w:tc>
          <w:tcPr>
            <w:tcW w:w="3404"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АТ «Вінницяобленерго»</w:t>
            </w:r>
          </w:p>
        </w:tc>
      </w:tr>
      <w:tr w:rsidR="00C641DE" w:rsidRPr="00C641DE" w:rsidTr="009E09DF">
        <w:tc>
          <w:tcPr>
            <w:tcW w:w="704"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2</w:t>
            </w:r>
          </w:p>
        </w:tc>
        <w:tc>
          <w:tcPr>
            <w:tcW w:w="3119"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м. Вінниця, вул. В’ячеслава Чорновола, 3.</w:t>
            </w:r>
          </w:p>
        </w:tc>
        <w:tc>
          <w:tcPr>
            <w:tcW w:w="2407"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62Z1414791452568</w:t>
            </w:r>
          </w:p>
        </w:tc>
        <w:tc>
          <w:tcPr>
            <w:tcW w:w="3404"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АТ «Вінницяобленерго»</w:t>
            </w:r>
          </w:p>
        </w:tc>
      </w:tr>
    </w:tbl>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p>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Електрична енергія для потреб населення: індивідуальні та колективні побутові споживачі, в тому числі у гуртожитках, що розраховуються за електричну енергію за загальним розрахунковим засобом обліку в частині споживання електричної енергії фізичними особами для задоволення власних побутових потреб, які не включають професійну та/або господарську діяльність.</w:t>
      </w:r>
    </w:p>
    <w:p w:rsidR="00C641DE" w:rsidRPr="003662C3" w:rsidRDefault="00C641DE" w:rsidP="00C641DE">
      <w:pPr>
        <w:keepNext/>
        <w:keepLines/>
        <w:snapToGrid w:val="0"/>
        <w:spacing w:after="0" w:line="240" w:lineRule="auto"/>
        <w:ind w:right="-3"/>
        <w:jc w:val="both"/>
        <w:rPr>
          <w:rFonts w:ascii="Times New Roman" w:eastAsia="Times New Roman" w:hAnsi="Times New Roman"/>
          <w:b/>
          <w:bCs/>
          <w:i/>
          <w:kern w:val="1"/>
          <w:sz w:val="24"/>
          <w:szCs w:val="24"/>
          <w:lang w:eastAsia="ar-SA"/>
        </w:rPr>
      </w:pPr>
      <w:r w:rsidRPr="003662C3">
        <w:rPr>
          <w:rFonts w:ascii="Times New Roman" w:eastAsia="Times New Roman" w:hAnsi="Times New Roman"/>
          <w:b/>
          <w:bCs/>
          <w:i/>
          <w:kern w:val="1"/>
          <w:sz w:val="24"/>
          <w:szCs w:val="24"/>
          <w:lang w:eastAsia="ar-SA"/>
        </w:rPr>
        <w:t xml:space="preserve">Обсяг поставки </w:t>
      </w:r>
      <w:r w:rsidR="009E7270">
        <w:rPr>
          <w:rFonts w:ascii="Times New Roman" w:eastAsia="Times New Roman" w:hAnsi="Times New Roman"/>
          <w:b/>
          <w:bCs/>
          <w:i/>
          <w:kern w:val="1"/>
          <w:sz w:val="24"/>
          <w:szCs w:val="24"/>
          <w:lang w:eastAsia="ar-SA"/>
        </w:rPr>
        <w:t xml:space="preserve">20 </w:t>
      </w:r>
      <w:r w:rsidRPr="003662C3">
        <w:rPr>
          <w:rFonts w:ascii="Times New Roman" w:eastAsia="Times New Roman" w:hAnsi="Times New Roman"/>
          <w:b/>
          <w:bCs/>
          <w:i/>
          <w:kern w:val="1"/>
          <w:sz w:val="24"/>
          <w:szCs w:val="24"/>
          <w:lang w:eastAsia="ar-SA"/>
        </w:rPr>
        <w:t xml:space="preserve">000 кВт/год. </w:t>
      </w:r>
    </w:p>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p>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 xml:space="preserve">Тариф, що підлягає застосуванню визначений постановою Кабінету Міністрів України від 05.06.2019 № 483 </w:t>
      </w:r>
      <w:r w:rsidR="007D64C4">
        <w:rPr>
          <w:rFonts w:ascii="Times New Roman" w:eastAsia="Times New Roman" w:hAnsi="Times New Roman"/>
          <w:bCs/>
          <w:kern w:val="1"/>
          <w:sz w:val="24"/>
          <w:szCs w:val="24"/>
          <w:lang w:eastAsia="ar-SA"/>
        </w:rPr>
        <w:t>«</w:t>
      </w:r>
      <w:r w:rsidRPr="00C641DE">
        <w:rPr>
          <w:rFonts w:ascii="Times New Roman" w:eastAsia="Times New Roman" w:hAnsi="Times New Roman"/>
          <w:bCs/>
          <w:kern w:val="1"/>
          <w:sz w:val="24"/>
          <w:szCs w:val="24"/>
          <w:lang w:eastAsia="ar-SA"/>
        </w:rPr>
        <w:t>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r w:rsidR="007D64C4">
        <w:rPr>
          <w:rFonts w:ascii="Times New Roman" w:eastAsia="Times New Roman" w:hAnsi="Times New Roman"/>
          <w:bCs/>
          <w:kern w:val="1"/>
          <w:sz w:val="24"/>
          <w:szCs w:val="24"/>
          <w:lang w:eastAsia="ar-SA"/>
        </w:rPr>
        <w:t>»</w:t>
      </w:r>
      <w:r w:rsidRPr="00C641DE">
        <w:rPr>
          <w:rFonts w:ascii="Times New Roman" w:eastAsia="Times New Roman" w:hAnsi="Times New Roman"/>
          <w:bCs/>
          <w:kern w:val="1"/>
          <w:sz w:val="24"/>
          <w:szCs w:val="24"/>
          <w:lang w:eastAsia="ar-SA"/>
        </w:rPr>
        <w:t>.</w:t>
      </w:r>
    </w:p>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У вартість товару включається вартість товару, вартість послуг із передачі та розподілу електроенергії. За послуги із передачі та розподілу електроенергії сплачує учасник і включає їхню вартість у цінову пропозицію товару.</w:t>
      </w:r>
    </w:p>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p>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Термін постачання: по 31 грудня 2022 року.</w:t>
      </w:r>
    </w:p>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Товар повинен відповідати наступним технічним вимогам до предмету закупівлі, що визначені наступними нормативно-правовими актами: Закону України «Про публічні закупівлі», Закону України «Про ринок електричної енергії», Постанові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Порядку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Кодексу комерційного обліку електричної енергії, Кодексу системи розподілу, Кодексу системи передачі,  Правилам ринку «на добу наперед» на внутрішньодобовому ринку, Правилам ринку та іншими нормативними актами прийнятими на виконання Закону України «Про ринок електричної енергії».</w:t>
      </w:r>
    </w:p>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F87F4E" w:rsidRPr="00F87F4E" w:rsidRDefault="00C641DE" w:rsidP="00C641DE">
      <w:pPr>
        <w:keepNext/>
        <w:keepLines/>
        <w:snapToGrid w:val="0"/>
        <w:spacing w:after="0" w:line="240" w:lineRule="auto"/>
        <w:ind w:right="-3"/>
        <w:jc w:val="both"/>
        <w:rPr>
          <w:rFonts w:ascii="Times New Roman" w:eastAsia="Times New Roman" w:hAnsi="Times New Roman"/>
          <w:sz w:val="24"/>
          <w:szCs w:val="24"/>
          <w:lang w:eastAsia="ru-RU"/>
        </w:rPr>
      </w:pPr>
      <w:r w:rsidRPr="00C641DE">
        <w:rPr>
          <w:rFonts w:ascii="Times New Roman" w:eastAsia="Times New Roman" w:hAnsi="Times New Roman"/>
          <w:bCs/>
          <w:kern w:val="1"/>
          <w:sz w:val="24"/>
          <w:szCs w:val="24"/>
          <w:lang w:eastAsia="ar-SA"/>
        </w:rPr>
        <w:t>Постачання електричної енергії споживачам здійснюється електропостачальниками, які отримали відповідну ліцензію на право провадження господарської діяльності з постачання електроенергії споживачу.</w:t>
      </w:r>
    </w:p>
    <w:p w:rsidR="006F0888" w:rsidRPr="00F87F4E" w:rsidRDefault="006F0888" w:rsidP="00F87F4E">
      <w:pPr>
        <w:pStyle w:val="a4"/>
        <w:spacing w:after="0" w:line="240" w:lineRule="auto"/>
        <w:jc w:val="center"/>
        <w:rPr>
          <w:lang w:val="uk-UA"/>
        </w:rPr>
      </w:pPr>
    </w:p>
    <w:sectPr w:rsidR="006F0888" w:rsidRPr="00F87F4E" w:rsidSect="00EF4DA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5F02"/>
    <w:multiLevelType w:val="hybridMultilevel"/>
    <w:tmpl w:val="10FE5F4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B01DC5"/>
    <w:multiLevelType w:val="hybridMultilevel"/>
    <w:tmpl w:val="A80EAF46"/>
    <w:lvl w:ilvl="0" w:tplc="F4029B18">
      <w:start w:val="1"/>
      <w:numFmt w:val="decimal"/>
      <w:lvlText w:val="%1."/>
      <w:lvlJc w:val="left"/>
      <w:pPr>
        <w:ind w:left="29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F02079"/>
    <w:multiLevelType w:val="hybridMultilevel"/>
    <w:tmpl w:val="C436C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8EF"/>
    <w:rsid w:val="00172EEC"/>
    <w:rsid w:val="002D051F"/>
    <w:rsid w:val="002E7229"/>
    <w:rsid w:val="0036628E"/>
    <w:rsid w:val="003662C3"/>
    <w:rsid w:val="003765BF"/>
    <w:rsid w:val="00392D66"/>
    <w:rsid w:val="00453BC6"/>
    <w:rsid w:val="004D0B28"/>
    <w:rsid w:val="005331C4"/>
    <w:rsid w:val="00564589"/>
    <w:rsid w:val="00575C5C"/>
    <w:rsid w:val="00612D74"/>
    <w:rsid w:val="006B322A"/>
    <w:rsid w:val="006F0888"/>
    <w:rsid w:val="007259E0"/>
    <w:rsid w:val="007528CE"/>
    <w:rsid w:val="00776B5F"/>
    <w:rsid w:val="007D64C4"/>
    <w:rsid w:val="009A4BD8"/>
    <w:rsid w:val="009E331D"/>
    <w:rsid w:val="009E7270"/>
    <w:rsid w:val="00A0118A"/>
    <w:rsid w:val="00B73406"/>
    <w:rsid w:val="00C32256"/>
    <w:rsid w:val="00C641DE"/>
    <w:rsid w:val="00D72820"/>
    <w:rsid w:val="00E41A08"/>
    <w:rsid w:val="00EC68EF"/>
    <w:rsid w:val="00EF4DAD"/>
    <w:rsid w:val="00F8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0F12"/>
  <w15:docId w15:val="{43C8858C-A31B-4F9B-8601-1596987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8EF"/>
    <w:rPr>
      <w:rFonts w:ascii="Calibri" w:eastAsia="Calibri" w:hAnsi="Calibri" w:cs="Times New Roman"/>
      <w:lang w:val="uk-UA"/>
    </w:rPr>
  </w:style>
  <w:style w:type="paragraph" w:styleId="2">
    <w:name w:val="heading 2"/>
    <w:basedOn w:val="a"/>
    <w:link w:val="20"/>
    <w:uiPriority w:val="9"/>
    <w:semiHidden/>
    <w:unhideWhenUsed/>
    <w:qFormat/>
    <w:rsid w:val="00E41A08"/>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C68EF"/>
    <w:pPr>
      <w:spacing w:before="100" w:beforeAutospacing="1" w:after="100" w:afterAutospacing="1" w:line="240" w:lineRule="auto"/>
    </w:pPr>
    <w:rPr>
      <w:rFonts w:ascii="Times New Roman" w:eastAsia="SimSun" w:hAnsi="Times New Roman"/>
      <w:sz w:val="24"/>
      <w:szCs w:val="24"/>
      <w:lang w:eastAsia="zh-CN"/>
    </w:rPr>
  </w:style>
  <w:style w:type="paragraph" w:customStyle="1" w:styleId="pointleft-text">
    <w:name w:val="point__left-text"/>
    <w:basedOn w:val="a"/>
    <w:rsid w:val="00EC68EF"/>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
    <w:uiPriority w:val="34"/>
    <w:qFormat/>
    <w:rsid w:val="00EC68EF"/>
    <w:pPr>
      <w:ind w:left="720"/>
      <w:contextualSpacing/>
    </w:pPr>
    <w:rPr>
      <w:lang w:val="ru-RU"/>
    </w:rPr>
  </w:style>
  <w:style w:type="paragraph" w:styleId="HTML">
    <w:name w:val="HTML Preformatted"/>
    <w:basedOn w:val="a"/>
    <w:link w:val="HTML0"/>
    <w:uiPriority w:val="99"/>
    <w:unhideWhenUsed/>
    <w:rsid w:val="00EC6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EC68EF"/>
    <w:rPr>
      <w:rFonts w:ascii="Courier New" w:eastAsia="Times New Roman" w:hAnsi="Courier New" w:cs="Courier New"/>
      <w:sz w:val="20"/>
      <w:szCs w:val="20"/>
      <w:lang w:val="uk-UA" w:eastAsia="uk-UA"/>
    </w:rPr>
  </w:style>
  <w:style w:type="character" w:styleId="a5">
    <w:name w:val="Hyperlink"/>
    <w:uiPriority w:val="99"/>
    <w:semiHidden/>
    <w:unhideWhenUsed/>
    <w:rsid w:val="00EC68EF"/>
    <w:rPr>
      <w:color w:val="0000FF"/>
      <w:u w:val="single"/>
    </w:rPr>
  </w:style>
  <w:style w:type="character" w:styleId="a6">
    <w:name w:val="Emphasis"/>
    <w:basedOn w:val="a0"/>
    <w:uiPriority w:val="20"/>
    <w:qFormat/>
    <w:rsid w:val="006F0888"/>
    <w:rPr>
      <w:i/>
      <w:iCs/>
    </w:rPr>
  </w:style>
  <w:style w:type="character" w:customStyle="1" w:styleId="20">
    <w:name w:val="Заголовок 2 Знак"/>
    <w:basedOn w:val="a0"/>
    <w:link w:val="2"/>
    <w:uiPriority w:val="9"/>
    <w:semiHidden/>
    <w:rsid w:val="00E41A08"/>
    <w:rPr>
      <w:rFonts w:ascii="Times New Roman" w:eastAsia="Times New Roman" w:hAnsi="Times New Roman" w:cs="Times New Roman"/>
      <w:b/>
      <w:bCs/>
      <w:sz w:val="36"/>
      <w:szCs w:val="36"/>
      <w:lang w:eastAsia="ru-RU"/>
    </w:rPr>
  </w:style>
  <w:style w:type="table" w:styleId="a7">
    <w:name w:val="Table Grid"/>
    <w:basedOn w:val="a1"/>
    <w:uiPriority w:val="39"/>
    <w:rsid w:val="00C6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1801</Words>
  <Characters>1028</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Бухгалтерия</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ГолБух</dc:creator>
  <cp:keywords/>
  <dc:description/>
  <cp:lastModifiedBy>POLIGRAF</cp:lastModifiedBy>
  <cp:revision>28</cp:revision>
  <cp:lastPrinted>2021-11-15T07:02:00Z</cp:lastPrinted>
  <dcterms:created xsi:type="dcterms:W3CDTF">2020-08-27T07:42:00Z</dcterms:created>
  <dcterms:modified xsi:type="dcterms:W3CDTF">2022-09-16T07:30:00Z</dcterms:modified>
</cp:coreProperties>
</file>