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23" w:rsidRPr="00366802" w:rsidRDefault="00402174">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366802">
        <w:rPr>
          <w:rFonts w:ascii="Times New Roman" w:eastAsia="Times New Roman" w:hAnsi="Times New Roman" w:cs="Times New Roman"/>
          <w:b/>
          <w:color w:val="000000"/>
          <w:sz w:val="24"/>
          <w:szCs w:val="24"/>
          <w:lang w:val="uk-UA"/>
        </w:rPr>
        <w:t>ДОДАТОК 1</w:t>
      </w:r>
    </w:p>
    <w:p w:rsidR="00E96523" w:rsidRPr="00366802" w:rsidRDefault="00402174">
      <w:pPr>
        <w:spacing w:after="0" w:line="240" w:lineRule="auto"/>
        <w:ind w:left="5660" w:firstLine="700"/>
        <w:jc w:val="right"/>
        <w:rPr>
          <w:rFonts w:ascii="Times New Roman" w:eastAsia="Times New Roman" w:hAnsi="Times New Roman" w:cs="Times New Roman"/>
          <w:b/>
          <w:sz w:val="24"/>
          <w:szCs w:val="24"/>
          <w:lang w:val="uk-UA"/>
        </w:rPr>
      </w:pPr>
      <w:r w:rsidRPr="00366802">
        <w:rPr>
          <w:rFonts w:ascii="Times New Roman" w:eastAsia="Times New Roman" w:hAnsi="Times New Roman" w:cs="Times New Roman"/>
          <w:b/>
          <w:color w:val="000000"/>
          <w:sz w:val="24"/>
          <w:szCs w:val="24"/>
          <w:lang w:val="uk-UA"/>
        </w:rPr>
        <w:t>до тендерної документації</w:t>
      </w:r>
    </w:p>
    <w:p w:rsidR="00E96523" w:rsidRPr="00366802" w:rsidRDefault="00402174">
      <w:pPr>
        <w:spacing w:after="0" w:line="240" w:lineRule="auto"/>
        <w:ind w:left="5660" w:firstLine="700"/>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4"/>
          <w:szCs w:val="24"/>
          <w:lang w:val="uk-UA"/>
        </w:rPr>
        <w:t> </w:t>
      </w:r>
    </w:p>
    <w:p w:rsidR="00E96523" w:rsidRPr="00366802" w:rsidRDefault="00402174" w:rsidP="00366802">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П</w:t>
      </w:r>
      <w:r w:rsidR="00054D9B" w:rsidRPr="00366802">
        <w:rPr>
          <w:rFonts w:ascii="Times New Roman" w:eastAsia="Times New Roman" w:hAnsi="Times New Roman" w:cs="Times New Roman"/>
          <w:b/>
          <w:color w:val="000000"/>
          <w:sz w:val="24"/>
          <w:szCs w:val="24"/>
          <w:lang w:val="uk-UA"/>
        </w:rPr>
        <w:t>ерелік документів та інформації</w:t>
      </w:r>
      <w:r w:rsidRPr="00366802">
        <w:rPr>
          <w:rFonts w:ascii="Times New Roman" w:eastAsia="Times New Roman" w:hAnsi="Times New Roman" w:cs="Times New Roman"/>
          <w:b/>
          <w:color w:val="000000"/>
          <w:sz w:val="24"/>
          <w:szCs w:val="24"/>
          <w:lang w:val="uk-UA"/>
        </w:rPr>
        <w:t xml:space="preserve"> для підтвердження відповідності УЧАСНИКА кваліфікаційним критеріям, визначеним у статті 16 Закону “Про публічні закупівлі”:</w:t>
      </w:r>
    </w:p>
    <w:tbl>
      <w:tblPr>
        <w:tblStyle w:val="a9"/>
        <w:tblW w:w="9686" w:type="dxa"/>
        <w:jc w:val="center"/>
        <w:tblInd w:w="0" w:type="dxa"/>
        <w:tblLayout w:type="fixed"/>
        <w:tblLook w:val="0400" w:firstRow="0" w:lastRow="0" w:firstColumn="0" w:lastColumn="0" w:noHBand="0" w:noVBand="1"/>
      </w:tblPr>
      <w:tblGrid>
        <w:gridCol w:w="557"/>
        <w:gridCol w:w="2273"/>
        <w:gridCol w:w="6856"/>
      </w:tblGrid>
      <w:tr w:rsidR="00E96523" w:rsidRPr="00366802" w:rsidTr="0036680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sz w:val="24"/>
                <w:szCs w:val="24"/>
                <w:lang w:val="uk-UA"/>
              </w:rPr>
              <w:t>з</w:t>
            </w:r>
            <w:r w:rsidRPr="0036680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rsidP="00366802">
            <w:pPr>
              <w:spacing w:before="240"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Документи та </w:t>
            </w:r>
            <w:r w:rsidRPr="00366802">
              <w:rPr>
                <w:rFonts w:ascii="Times New Roman" w:eastAsia="Times New Roman" w:hAnsi="Times New Roman" w:cs="Times New Roman"/>
                <w:b/>
                <w:color w:val="FF0000"/>
                <w:sz w:val="24"/>
                <w:szCs w:val="24"/>
                <w:lang w:val="uk-UA"/>
              </w:rPr>
              <w:t>інформація</w:t>
            </w:r>
            <w:r w:rsidR="008F4290"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E96523" w:rsidRPr="00366802" w:rsidTr="00366802">
        <w:trPr>
          <w:trHeight w:val="103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обладнання, матеріаль</w:t>
            </w:r>
            <w:r w:rsidR="008F4290" w:rsidRPr="00366802">
              <w:rPr>
                <w:rFonts w:ascii="Times New Roman" w:eastAsia="Times New Roman" w:hAnsi="Times New Roman" w:cs="Times New Roman"/>
                <w:b/>
                <w:color w:val="000000"/>
                <w:sz w:val="24"/>
                <w:szCs w:val="24"/>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hd w:val="clear" w:color="auto" w:fill="FFFFFF"/>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працівників відповідної кваліфікації, які м</w:t>
            </w:r>
            <w:r w:rsidR="008F4290" w:rsidRPr="00366802">
              <w:rPr>
                <w:rFonts w:ascii="Times New Roman" w:eastAsia="Times New Roman" w:hAnsi="Times New Roman" w:cs="Times New Roman"/>
                <w:b/>
                <w:color w:val="000000"/>
                <w:sz w:val="24"/>
                <w:szCs w:val="24"/>
                <w:lang w:val="uk-UA"/>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E96523" w:rsidRPr="00366802" w:rsidRDefault="00402174" w:rsidP="00366802">
            <w:pPr>
              <w:spacing w:after="0" w:line="240" w:lineRule="auto"/>
              <w:ind w:right="64"/>
              <w:jc w:val="right"/>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Таблиця 1  </w:t>
            </w:r>
          </w:p>
          <w:tbl>
            <w:tblPr>
              <w:tblStyle w:val="aa"/>
              <w:tblW w:w="6336" w:type="dxa"/>
              <w:tblInd w:w="0" w:type="dxa"/>
              <w:tblLayout w:type="fixed"/>
              <w:tblLook w:val="0400" w:firstRow="0" w:lastRow="0" w:firstColumn="0" w:lastColumn="0" w:noHBand="0" w:noVBand="1"/>
            </w:tblPr>
            <w:tblGrid>
              <w:gridCol w:w="666"/>
              <w:gridCol w:w="1559"/>
              <w:gridCol w:w="1701"/>
              <w:gridCol w:w="2410"/>
            </w:tblGrid>
            <w:tr w:rsidR="00E96523" w:rsidRPr="00366802" w:rsidTr="008F4290">
              <w:tc>
                <w:tcPr>
                  <w:tcW w:w="6336" w:type="dxa"/>
                  <w:gridSpan w:val="4"/>
                  <w:tcBorders>
                    <w:top w:val="single" w:sz="4" w:space="0" w:color="000000"/>
                    <w:left w:val="single" w:sz="4" w:space="0" w:color="000000"/>
                    <w:bottom w:val="single" w:sz="4" w:space="0" w:color="000000"/>
                    <w:right w:val="single" w:sz="4" w:space="0" w:color="000000"/>
                  </w:tcBorders>
                </w:tcPr>
                <w:p w:rsidR="00E96523" w:rsidRPr="00366802" w:rsidRDefault="00402174" w:rsidP="00366802">
                  <w:pPr>
                    <w:spacing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ПІБ</w:t>
                  </w: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Кваліфікація/</w:t>
                  </w:r>
                </w:p>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Працівник учасника</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r>
          </w:tbl>
          <w:p w:rsidR="00E96523" w:rsidRPr="00366802" w:rsidRDefault="00E96523" w:rsidP="00366802">
            <w:pPr>
              <w:spacing w:after="0" w:line="240" w:lineRule="auto"/>
              <w:ind w:right="64"/>
              <w:rPr>
                <w:rFonts w:ascii="Times New Roman" w:eastAsia="Times New Roman" w:hAnsi="Times New Roman" w:cs="Times New Roman"/>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Pr="00366802">
              <w:rPr>
                <w:rFonts w:ascii="Times New Roman" w:eastAsia="Times New Roman" w:hAnsi="Times New Roman" w:cs="Times New Roman"/>
                <w:i/>
                <w:color w:val="FF0000"/>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66802">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 / </w:t>
            </w:r>
            <w:r w:rsidRPr="00366802">
              <w:rPr>
                <w:rFonts w:ascii="Times New Roman" w:eastAsia="Times New Roman" w:hAnsi="Times New Roman" w:cs="Times New Roman"/>
                <w:color w:val="FF0000"/>
                <w:sz w:val="24"/>
                <w:szCs w:val="24"/>
                <w:lang w:val="uk-UA"/>
              </w:rPr>
              <w:t xml:space="preserve">субпідрядником / співвиконавцем </w:t>
            </w:r>
            <w:r w:rsidRPr="00366802">
              <w:rPr>
                <w:rFonts w:ascii="Times New Roman" w:eastAsia="Times New Roman" w:hAnsi="Times New Roman" w:cs="Times New Roman"/>
                <w:color w:val="000000"/>
                <w:sz w:val="24"/>
                <w:szCs w:val="24"/>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66802">
              <w:rPr>
                <w:rFonts w:ascii="Times New Roman" w:eastAsia="Times New Roman" w:hAnsi="Times New Roman" w:cs="Times New Roman"/>
                <w:sz w:val="24"/>
                <w:szCs w:val="24"/>
                <w:lang w:val="uk-UA"/>
              </w:rPr>
              <w:t>няття</w:t>
            </w:r>
            <w:r w:rsidRPr="00366802">
              <w:rPr>
                <w:rFonts w:ascii="Times New Roman" w:eastAsia="Times New Roman" w:hAnsi="Times New Roman" w:cs="Times New Roman"/>
                <w:color w:val="000000"/>
                <w:sz w:val="24"/>
                <w:szCs w:val="24"/>
                <w:lang w:val="uk-UA"/>
              </w:rPr>
              <w:t xml:space="preserve"> на роботу) / інший документ).</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8F4290" w:rsidRPr="00366802">
              <w:rPr>
                <w:rFonts w:ascii="Times New Roman" w:eastAsia="Times New Roman" w:hAnsi="Times New Roman" w:cs="Times New Roman"/>
                <w:color w:val="000000"/>
                <w:sz w:val="24"/>
                <w:szCs w:val="24"/>
                <w:lang w:val="uk-UA"/>
              </w:rPr>
              <w:t xml:space="preserve"> за 2020-2022 рр</w:t>
            </w:r>
            <w:r w:rsidRPr="00366802">
              <w:rPr>
                <w:rFonts w:ascii="Times New Roman" w:eastAsia="Times New Roman" w:hAnsi="Times New Roman" w:cs="Times New Roman"/>
                <w:color w:val="000000"/>
                <w:sz w:val="24"/>
                <w:szCs w:val="24"/>
                <w:lang w:val="uk-UA"/>
              </w:rPr>
              <w:t>.</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3.1.2. не менше 1 копії договору, зазначеного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довідці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повному обсязі,</w:t>
            </w:r>
          </w:p>
          <w:p w:rsidR="00E96523" w:rsidRPr="00366802" w:rsidRDefault="00402174" w:rsidP="00366802">
            <w:pPr>
              <w:spacing w:after="0" w:line="240" w:lineRule="auto"/>
              <w:ind w:right="64"/>
              <w:jc w:val="both"/>
              <w:rPr>
                <w:rFonts w:ascii="Times New Roman" w:eastAsia="Times New Roman" w:hAnsi="Times New Roman" w:cs="Times New Roman"/>
                <w:sz w:val="24"/>
                <w:szCs w:val="24"/>
                <w:highlight w:val="white"/>
                <w:lang w:val="uk-UA"/>
              </w:rPr>
            </w:pPr>
            <w:r w:rsidRPr="00366802">
              <w:rPr>
                <w:rFonts w:ascii="Times New Roman" w:eastAsia="Times New Roman" w:hAnsi="Times New Roman" w:cs="Times New Roman"/>
                <w:color w:val="000000"/>
                <w:sz w:val="24"/>
                <w:szCs w:val="24"/>
                <w:lang w:val="uk-UA"/>
              </w:rPr>
              <w:t>3.1.3. копії/ю документів/</w:t>
            </w:r>
            <w:r w:rsidRPr="00366802">
              <w:rPr>
                <w:rFonts w:ascii="Times New Roman" w:eastAsia="Times New Roman" w:hAnsi="Times New Roman" w:cs="Times New Roman"/>
                <w:sz w:val="24"/>
                <w:szCs w:val="24"/>
                <w:lang w:val="uk-UA"/>
              </w:rPr>
              <w:t>а</w:t>
            </w:r>
            <w:r w:rsidRPr="0036680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366802">
              <w:rPr>
                <w:rFonts w:ascii="Times New Roman" w:eastAsia="Times New Roman" w:hAnsi="Times New Roman" w:cs="Times New Roman"/>
                <w:color w:val="000000"/>
                <w:sz w:val="24"/>
                <w:szCs w:val="24"/>
                <w:highlight w:val="white"/>
                <w:lang w:val="uk-UA"/>
              </w:rPr>
              <w:t>наченого в наданій Учасником довідці. </w:t>
            </w:r>
          </w:p>
          <w:p w:rsidR="00E96523" w:rsidRPr="00366802" w:rsidRDefault="00E96523" w:rsidP="00366802">
            <w:pPr>
              <w:spacing w:after="0" w:line="240" w:lineRule="auto"/>
              <w:ind w:right="64"/>
              <w:rPr>
                <w:rFonts w:ascii="Times New Roman" w:eastAsia="Times New Roman" w:hAnsi="Times New Roman" w:cs="Times New Roman"/>
                <w:color w:val="4A86E8"/>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color w:val="4A86E8"/>
                <w:sz w:val="20"/>
                <w:szCs w:val="20"/>
                <w:lang w:val="uk-UA"/>
              </w:rPr>
            </w:pPr>
            <w:r w:rsidRPr="00366802">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96523" w:rsidRPr="008F4290" w:rsidRDefault="00402174">
      <w:pPr>
        <w:spacing w:before="240" w:after="0" w:line="240" w:lineRule="auto"/>
        <w:ind w:firstLine="7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4D9B" w:rsidRDefault="00054D9B" w:rsidP="00054D9B">
      <w:pPr>
        <w:spacing w:after="0" w:line="240" w:lineRule="auto"/>
        <w:ind w:firstLine="567"/>
        <w:contextualSpacing/>
        <w:jc w:val="both"/>
        <w:rPr>
          <w:rFonts w:ascii="Times New Roman" w:eastAsia="Times New Roman" w:hAnsi="Times New Roman" w:cs="Times New Roman"/>
          <w:b/>
          <w:sz w:val="20"/>
          <w:szCs w:val="20"/>
          <w:lang w:val="uk-UA"/>
        </w:rPr>
      </w:pPr>
    </w:p>
    <w:p w:rsidR="001A38C0" w:rsidRPr="00366802" w:rsidRDefault="00402174" w:rsidP="00366802">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b/>
          <w:sz w:val="24"/>
          <w:szCs w:val="24"/>
          <w:lang w:val="uk-UA"/>
        </w:rPr>
        <w:t xml:space="preserve">2. </w:t>
      </w:r>
      <w:r w:rsidRPr="00366802">
        <w:rPr>
          <w:rFonts w:ascii="Times New Roman" w:eastAsia="Times New Roman" w:hAnsi="Times New Roman" w:cs="Times New Roman"/>
          <w:b/>
          <w:color w:val="000000"/>
          <w:sz w:val="24"/>
          <w:szCs w:val="24"/>
          <w:lang w:val="uk-UA"/>
        </w:rPr>
        <w:t xml:space="preserve">Підтвердження відповідності УЧАСНИКА </w:t>
      </w:r>
      <w:r w:rsidR="001A38C0" w:rsidRPr="00366802">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1A38C0" w:rsidRPr="00366802" w:rsidRDefault="001A38C0" w:rsidP="00366802">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66802">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366802">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повинен надати </w:t>
      </w:r>
      <w:r w:rsidRPr="00366802">
        <w:rPr>
          <w:rFonts w:ascii="Times New Roman" w:eastAsia="Times New Roman" w:hAnsi="Times New Roman" w:cs="Times New Roman"/>
          <w:b/>
          <w:color w:val="000000" w:themeColor="text1"/>
          <w:sz w:val="24"/>
          <w:szCs w:val="24"/>
          <w:lang w:val="uk-UA"/>
        </w:rPr>
        <w:t>довідку у довільній формі</w:t>
      </w:r>
      <w:r w:rsidRPr="00366802">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802" w:rsidRDefault="00366802" w:rsidP="00366802">
      <w:pPr>
        <w:spacing w:after="80"/>
        <w:ind w:firstLine="567"/>
        <w:jc w:val="both"/>
        <w:rPr>
          <w:rFonts w:ascii="Times New Roman" w:eastAsia="Times New Roman" w:hAnsi="Times New Roman" w:cs="Times New Roman"/>
          <w:b/>
          <w:i/>
          <w:sz w:val="20"/>
          <w:szCs w:val="20"/>
          <w:lang w:val="uk-UA"/>
        </w:rPr>
      </w:pPr>
    </w:p>
    <w:p w:rsidR="00366802" w:rsidRPr="00F44424" w:rsidRDefault="00366802" w:rsidP="00366802">
      <w:pPr>
        <w:spacing w:after="80"/>
        <w:ind w:firstLine="567"/>
        <w:jc w:val="both"/>
        <w:rPr>
          <w:rFonts w:ascii="Times New Roman" w:eastAsia="Times New Roman" w:hAnsi="Times New Roman" w:cs="Times New Roman"/>
          <w:i/>
          <w:sz w:val="20"/>
          <w:szCs w:val="20"/>
          <w:lang w:val="uk-UA"/>
        </w:rPr>
      </w:pPr>
      <w:r w:rsidRPr="00F44424">
        <w:rPr>
          <w:rFonts w:ascii="Times New Roman" w:eastAsia="Times New Roman" w:hAnsi="Times New Roman" w:cs="Times New Roman"/>
          <w:b/>
          <w:i/>
          <w:sz w:val="20"/>
          <w:szCs w:val="20"/>
          <w:lang w:val="uk-UA"/>
        </w:rPr>
        <w:t>УВАГА!</w:t>
      </w:r>
      <w:r w:rsidRPr="00F44424">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6802" w:rsidRPr="001A38C0"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F44424">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F44424">
        <w:rPr>
          <w:rFonts w:ascii="Times New Roman" w:eastAsia="Times New Roman" w:hAnsi="Times New Roman" w:cs="Times New Roman"/>
          <w:i/>
          <w:sz w:val="20"/>
          <w:szCs w:val="20"/>
          <w:lang w:val="uk-UA"/>
        </w:rPr>
        <w:t>бенефіціарний</w:t>
      </w:r>
      <w:proofErr w:type="spellEnd"/>
      <w:r w:rsidRPr="00F44424">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6523" w:rsidRDefault="00E96523" w:rsidP="001A38C0">
      <w:pPr>
        <w:spacing w:after="0" w:line="240" w:lineRule="auto"/>
        <w:ind w:firstLine="567"/>
        <w:contextualSpacing/>
        <w:jc w:val="both"/>
        <w:rPr>
          <w:rFonts w:ascii="Times New Roman" w:eastAsia="Times New Roman" w:hAnsi="Times New Roman" w:cs="Times New Roman"/>
          <w:sz w:val="20"/>
          <w:szCs w:val="20"/>
          <w:lang w:val="uk-UA"/>
        </w:rPr>
      </w:pP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54D9B" w:rsidRPr="0036433A"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054D9B" w:rsidRPr="008F4290" w:rsidRDefault="00054D9B" w:rsidP="00054D9B">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800CE" w:rsidRDefault="005800CE" w:rsidP="005800C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p>
    <w:p w:rsidR="00366802" w:rsidRPr="00366802" w:rsidRDefault="00402174" w:rsidP="00366802">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b/>
          <w:color w:val="000000" w:themeColor="text1"/>
          <w:sz w:val="24"/>
          <w:szCs w:val="24"/>
          <w:lang w:val="uk-UA"/>
        </w:rPr>
        <w:t xml:space="preserve">3. </w:t>
      </w:r>
      <w:r w:rsidR="00366802" w:rsidRPr="00366802">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пункті 44 Особливостей:</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themeColor="text1"/>
          <w:sz w:val="24"/>
          <w:szCs w:val="24"/>
          <w:lang w:val="uk-UA"/>
        </w:rPr>
        <w:t xml:space="preserve">Першим днем строку, передбаченого цією тендерною документацією </w:t>
      </w:r>
      <w:r w:rsidRPr="00366802">
        <w:rPr>
          <w:rFonts w:ascii="Times New Roman" w:eastAsia="Times New Roman" w:hAnsi="Times New Roman" w:cs="Times New Roman"/>
          <w:sz w:val="24"/>
          <w:szCs w:val="24"/>
          <w:lang w:val="uk-UA"/>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23" w:rsidRPr="00366802" w:rsidRDefault="00402174" w:rsidP="0036680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366802">
        <w:rPr>
          <w:rFonts w:ascii="Times New Roman" w:eastAsia="Times New Roman" w:hAnsi="Times New Roman" w:cs="Times New Roman"/>
          <w:b/>
          <w:sz w:val="24"/>
          <w:szCs w:val="24"/>
          <w:lang w:val="uk-UA"/>
        </w:rPr>
        <w:t> </w:t>
      </w:r>
    </w:p>
    <w:p w:rsidR="00E96523" w:rsidRPr="00366802" w:rsidRDefault="00402174" w:rsidP="005800CE">
      <w:pPr>
        <w:spacing w:after="0" w:line="240" w:lineRule="auto"/>
        <w:jc w:val="center"/>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6"/>
        <w:gridCol w:w="4350"/>
        <w:gridCol w:w="4863"/>
      </w:tblGrid>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w:t>
            </w:r>
          </w:p>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з/п</w:t>
            </w:r>
          </w:p>
        </w:tc>
        <w:tc>
          <w:tcPr>
            <w:tcW w:w="4350"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Вимоги згідно п. 44 Особливостей</w:t>
            </w:r>
          </w:p>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p>
        </w:tc>
        <w:tc>
          <w:tcPr>
            <w:tcW w:w="4863"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1</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3 пункт 44 Особливостей)</w:t>
            </w:r>
          </w:p>
        </w:tc>
        <w:tc>
          <w:tcPr>
            <w:tcW w:w="4863" w:type="dxa"/>
            <w:tcMar>
              <w:top w:w="100" w:type="dxa"/>
              <w:left w:w="100" w:type="dxa"/>
              <w:bottom w:w="100" w:type="dxa"/>
              <w:right w:w="100" w:type="dxa"/>
            </w:tcMar>
          </w:tcPr>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4"/>
                <w:szCs w:val="24"/>
                <w:lang w:val="uk-UA"/>
              </w:rPr>
              <w:t>вебресурсі</w:t>
            </w:r>
            <w:proofErr w:type="spellEnd"/>
            <w:r w:rsidRPr="00FC3B2E">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2</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(підпункт 6 пункт 44 Особливостей)</w:t>
            </w:r>
          </w:p>
        </w:tc>
        <w:tc>
          <w:tcPr>
            <w:tcW w:w="4863" w:type="dxa"/>
            <w:vMerge w:val="restart"/>
            <w:tcMar>
              <w:top w:w="100" w:type="dxa"/>
              <w:left w:w="100" w:type="dxa"/>
              <w:bottom w:w="100" w:type="dxa"/>
              <w:right w:w="100" w:type="dxa"/>
            </w:tcMar>
          </w:tcPr>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p>
          <w:p w:rsidR="00366802" w:rsidRPr="00FC3B2E" w:rsidRDefault="00366802" w:rsidP="00FC3B2E">
            <w:pP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4"/>
                <w:szCs w:val="24"/>
                <w:lang w:val="uk-UA"/>
              </w:rPr>
              <w:t>тридцятиденної</w:t>
            </w:r>
            <w:proofErr w:type="spellEnd"/>
            <w:r w:rsidRPr="00FC3B2E">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C3B2E">
              <w:rPr>
                <w:rFonts w:ascii="Times New Roman" w:eastAsia="Times New Roman" w:hAnsi="Times New Roman" w:cs="Times New Roman"/>
                <w:color w:val="000000" w:themeColor="text1"/>
                <w:sz w:val="24"/>
                <w:szCs w:val="24"/>
                <w:lang w:val="uk-UA"/>
              </w:rPr>
              <w:t> </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3</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C3B2E">
              <w:rPr>
                <w:rFonts w:ascii="Times New Roman" w:eastAsia="Times New Roman" w:hAnsi="Times New Roman" w:cs="Times New Roman"/>
                <w:color w:val="000000" w:themeColor="text1"/>
                <w:sz w:val="24"/>
                <w:szCs w:val="24"/>
                <w:lang w:val="uk-UA"/>
              </w:rPr>
              <w:lastRenderedPageBreak/>
              <w:t>якими формами торгівлі людьми.</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12 пункт 44 Особливостей)</w:t>
            </w:r>
          </w:p>
        </w:tc>
        <w:tc>
          <w:tcPr>
            <w:tcW w:w="4863" w:type="dxa"/>
            <w:vMerge/>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b/>
                <w:color w:val="000000" w:themeColor="text1"/>
                <w:sz w:val="24"/>
                <w:szCs w:val="24"/>
                <w:lang w:val="uk-UA"/>
              </w:rPr>
            </w:pP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lastRenderedPageBreak/>
              <w:t>4</w:t>
            </w:r>
          </w:p>
        </w:tc>
        <w:tc>
          <w:tcPr>
            <w:tcW w:w="4350"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(абзац 14 пункт 44 Особливостей)</w:t>
            </w:r>
          </w:p>
        </w:tc>
        <w:tc>
          <w:tcPr>
            <w:tcW w:w="4863"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Довідка в довільній формі</w:t>
            </w:r>
            <w:r w:rsidRPr="00FC3B2E">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E96523">
      <w:pPr>
        <w:spacing w:after="0" w:line="240" w:lineRule="auto"/>
        <w:rPr>
          <w:rFonts w:ascii="Times New Roman" w:eastAsia="Times New Roman" w:hAnsi="Times New Roman" w:cs="Times New Roman"/>
          <w:b/>
          <w:color w:val="000000"/>
          <w:sz w:val="20"/>
          <w:szCs w:val="20"/>
          <w:lang w:val="uk-UA"/>
        </w:rPr>
      </w:pPr>
    </w:p>
    <w:p w:rsidR="00E96523" w:rsidRPr="00FC3B2E" w:rsidRDefault="00402174">
      <w:pPr>
        <w:spacing w:before="240"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r w:rsidRPr="00FC3B2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FC3B2E" w:rsidRPr="00FC3B2E" w:rsidRDefault="00FC3B2E" w:rsidP="00FC3B2E">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0"/>
                <w:szCs w:val="20"/>
                <w:lang w:val="uk-UA"/>
              </w:rPr>
              <w:t>вебресурсі</w:t>
            </w:r>
            <w:proofErr w:type="spellEnd"/>
            <w:r w:rsidRPr="00FC3B2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0"/>
                <w:szCs w:val="20"/>
                <w:lang w:val="uk-UA"/>
              </w:rPr>
              <w:t>тридцятиденної</w:t>
            </w:r>
            <w:proofErr w:type="spellEnd"/>
            <w:r w:rsidRPr="00FC3B2E">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FC3B2E">
              <w:rPr>
                <w:rFonts w:ascii="Times New Roman" w:eastAsia="Times New Roman" w:hAnsi="Times New Roman" w:cs="Times New Roman"/>
                <w:color w:val="000000" w:themeColor="text1"/>
                <w:sz w:val="20"/>
                <w:szCs w:val="20"/>
                <w:lang w:val="uk-UA"/>
              </w:rPr>
              <w:t> </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C3B2E">
              <w:rPr>
                <w:rFonts w:ascii="Times New Roman" w:eastAsia="Times New Roman" w:hAnsi="Times New Roman" w:cs="Times New Roman"/>
                <w:color w:val="000000" w:themeColor="text1"/>
                <w:sz w:val="20"/>
                <w:szCs w:val="20"/>
                <w:lang w:val="uk-UA"/>
              </w:rPr>
              <w:lastRenderedPageBreak/>
              <w:t>будь-якими формами торгівлі людьми.</w:t>
            </w: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0"/>
                <w:szCs w:val="20"/>
                <w:lang w:val="uk-UA"/>
              </w:rPr>
            </w:pP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lastRenderedPageBreak/>
              <w:t>4</w:t>
            </w:r>
          </w:p>
        </w:tc>
        <w:tc>
          <w:tcPr>
            <w:tcW w:w="4427"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Довідка в довільній формі</w:t>
            </w:r>
            <w:r w:rsidRPr="00FC3B2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402174">
      <w:pPr>
        <w:shd w:val="clear" w:color="auto" w:fill="FFFFFF"/>
        <w:spacing w:after="0" w:line="240" w:lineRule="auto"/>
        <w:rPr>
          <w:rFonts w:ascii="Times New Roman" w:eastAsia="Times New Roman" w:hAnsi="Times New Roman" w:cs="Times New Roman"/>
          <w:sz w:val="20"/>
          <w:szCs w:val="20"/>
          <w:lang w:val="uk-UA"/>
        </w:rPr>
      </w:pPr>
      <w:r w:rsidRPr="008F4290">
        <w:rPr>
          <w:rFonts w:ascii="Times New Roman" w:eastAsia="Times New Roman" w:hAnsi="Times New Roman" w:cs="Times New Roman"/>
          <w:sz w:val="20"/>
          <w:szCs w:val="20"/>
          <w:lang w:val="uk-UA"/>
        </w:rPr>
        <w:t> </w:t>
      </w:r>
    </w:p>
    <w:p w:rsidR="00E96523" w:rsidRPr="00FC3B2E" w:rsidRDefault="00402174" w:rsidP="00F41E98">
      <w:pPr>
        <w:shd w:val="clear" w:color="auto" w:fill="FFFFFF"/>
        <w:spacing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C3B2E">
        <w:rPr>
          <w:rFonts w:ascii="Times New Roman" w:eastAsia="Times New Roman" w:hAnsi="Times New Roman" w:cs="Times New Roman"/>
          <w:b/>
          <w:sz w:val="24"/>
          <w:szCs w:val="24"/>
          <w:lang w:val="uk-UA"/>
        </w:rPr>
        <w:t>—</w:t>
      </w:r>
      <w:r w:rsidRPr="00FC3B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підприємців).</w:t>
      </w:r>
    </w:p>
    <w:tbl>
      <w:tblPr>
        <w:tblStyle w:val="ad"/>
        <w:tblW w:w="9619" w:type="dxa"/>
        <w:tblInd w:w="100" w:type="dxa"/>
        <w:tblLayout w:type="fixed"/>
        <w:tblLook w:val="0400" w:firstRow="0" w:lastRow="0" w:firstColumn="0" w:lastColumn="0" w:noHBand="0" w:noVBand="1"/>
      </w:tblPr>
      <w:tblGrid>
        <w:gridCol w:w="400"/>
        <w:gridCol w:w="9219"/>
      </w:tblGrid>
      <w:tr w:rsidR="00E96523" w:rsidRPr="008F4290" w:rsidTr="00402174">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6523" w:rsidRPr="008F4290" w:rsidRDefault="00402174">
            <w:pPr>
              <w:spacing w:after="0" w:line="240" w:lineRule="auto"/>
              <w:ind w:left="100"/>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2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w:t>
            </w:r>
            <w:r w:rsidRPr="001C08AD">
              <w:rPr>
                <w:rFonts w:ascii="Times New Roman" w:eastAsia="Times New Roman" w:hAnsi="Times New Roman" w:cs="Times New Roman"/>
                <w:color w:val="000000"/>
                <w:sz w:val="20"/>
                <w:szCs w:val="20"/>
                <w:lang w:val="uk-UA"/>
              </w:rPr>
              <w:lastRenderedPageBreak/>
              <w:t>документи, що підтверджують громадянство України, посвідчують особу чи її спеціальний статус» від 20.11.2012 №5492-VI (із змінами).</w:t>
            </w:r>
          </w:p>
          <w:p w:rsidR="00E96523" w:rsidRPr="008F4290" w:rsidRDefault="00402174" w:rsidP="00402174">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8F4290"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1C08AD" w:rsidRDefault="00402174" w:rsidP="00402174">
            <w:pPr>
              <w:spacing w:after="0" w:line="240" w:lineRule="auto"/>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402174" w:rsidRPr="001C08AD" w:rsidRDefault="00402174" w:rsidP="00402174">
            <w:pPr>
              <w:spacing w:after="0" w:line="240" w:lineRule="auto"/>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proofErr w:type="spellStart"/>
            <w:r w:rsidRPr="001C08AD">
              <w:rPr>
                <w:rFonts w:ascii="Times New Roman" w:hAnsi="Times New Roman"/>
                <w:iCs/>
                <w:sz w:val="20"/>
                <w:szCs w:val="20"/>
              </w:rPr>
              <w:t>Відомості</w:t>
            </w:r>
            <w:proofErr w:type="spellEnd"/>
            <w:r w:rsidRPr="001C08AD">
              <w:rPr>
                <w:rFonts w:ascii="Times New Roman" w:hAnsi="Times New Roman"/>
                <w:iCs/>
                <w:sz w:val="20"/>
                <w:szCs w:val="20"/>
              </w:rPr>
              <w:t xml:space="preserve"> про </w:t>
            </w:r>
            <w:proofErr w:type="spellStart"/>
            <w:r w:rsidRPr="001C08AD">
              <w:rPr>
                <w:rFonts w:ascii="Times New Roman" w:hAnsi="Times New Roman"/>
                <w:iCs/>
                <w:sz w:val="20"/>
                <w:szCs w:val="20"/>
              </w:rPr>
              <w:t>контактну</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контактних</w:t>
            </w:r>
            <w:proofErr w:type="spellEnd"/>
            <w:r w:rsidRPr="001C08AD">
              <w:rPr>
                <w:rFonts w:ascii="Times New Roman" w:hAnsi="Times New Roman"/>
                <w:iCs/>
                <w:sz w:val="20"/>
                <w:szCs w:val="20"/>
              </w:rPr>
              <w:t>) особу (</w:t>
            </w:r>
            <w:proofErr w:type="spellStart"/>
            <w:r w:rsidRPr="001C08AD">
              <w:rPr>
                <w:rFonts w:ascii="Times New Roman" w:hAnsi="Times New Roman"/>
                <w:iCs/>
                <w:sz w:val="20"/>
                <w:szCs w:val="20"/>
              </w:rPr>
              <w:t>осіб</w:t>
            </w:r>
            <w:proofErr w:type="spellEnd"/>
            <w:proofErr w:type="gramStart"/>
            <w:r w:rsidRPr="001C08AD">
              <w:rPr>
                <w:rFonts w:ascii="Times New Roman" w:hAnsi="Times New Roman"/>
                <w:iCs/>
                <w:sz w:val="20"/>
                <w:szCs w:val="20"/>
              </w:rPr>
              <w:t>)</w:t>
            </w:r>
            <w:proofErr w:type="spellStart"/>
            <w:r w:rsidRPr="001C08AD">
              <w:rPr>
                <w:rFonts w:ascii="Times New Roman" w:hAnsi="Times New Roman"/>
                <w:iCs/>
                <w:sz w:val="20"/>
                <w:szCs w:val="20"/>
              </w:rPr>
              <w:t>у</w:t>
            </w:r>
            <w:proofErr w:type="gramEnd"/>
            <w:r w:rsidRPr="001C08AD">
              <w:rPr>
                <w:rFonts w:ascii="Times New Roman" w:hAnsi="Times New Roman"/>
                <w:iCs/>
                <w:sz w:val="20"/>
                <w:szCs w:val="20"/>
              </w:rPr>
              <w:t>часника</w:t>
            </w:r>
            <w:proofErr w:type="spellEnd"/>
            <w:r w:rsidRPr="001C08AD">
              <w:rPr>
                <w:rFonts w:ascii="Times New Roman" w:hAnsi="Times New Roman"/>
                <w:iCs/>
                <w:sz w:val="20"/>
                <w:szCs w:val="20"/>
              </w:rPr>
              <w:t xml:space="preserve"> (ПІБ, посада, </w:t>
            </w:r>
            <w:proofErr w:type="spellStart"/>
            <w:r w:rsidRPr="001C08AD">
              <w:rPr>
                <w:rFonts w:ascii="Times New Roman" w:hAnsi="Times New Roman"/>
                <w:iCs/>
                <w:sz w:val="20"/>
                <w:szCs w:val="20"/>
              </w:rPr>
              <w:t>контактний</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мобільний</w:t>
            </w:r>
            <w:proofErr w:type="spellEnd"/>
            <w:r w:rsidRPr="001C08AD">
              <w:rPr>
                <w:rFonts w:ascii="Times New Roman" w:hAnsi="Times New Roman"/>
                <w:iCs/>
                <w:sz w:val="20"/>
                <w:szCs w:val="20"/>
              </w:rPr>
              <w:t xml:space="preserve"> телефон, е-</w:t>
            </w:r>
            <w:proofErr w:type="spellStart"/>
            <w:r w:rsidRPr="001C08AD">
              <w:rPr>
                <w:rFonts w:ascii="Times New Roman" w:hAnsi="Times New Roman"/>
                <w:iCs/>
                <w:sz w:val="20"/>
                <w:szCs w:val="20"/>
              </w:rPr>
              <w:t>mail</w:t>
            </w:r>
            <w:proofErr w:type="spellEnd"/>
            <w:r w:rsidRPr="001C08AD">
              <w:rPr>
                <w:rFonts w:ascii="Times New Roman" w:hAnsi="Times New Roman"/>
                <w:iCs/>
                <w:sz w:val="20"/>
                <w:szCs w:val="20"/>
              </w:rPr>
              <w:t xml:space="preserve"> , </w:t>
            </w:r>
            <w:proofErr w:type="spellStart"/>
            <w:r w:rsidRPr="001C08AD">
              <w:rPr>
                <w:rFonts w:ascii="Times New Roman" w:hAnsi="Times New Roman"/>
                <w:iCs/>
                <w:sz w:val="20"/>
                <w:szCs w:val="20"/>
              </w:rPr>
              <w:t>інше</w:t>
            </w:r>
            <w:proofErr w:type="spellEnd"/>
            <w:r w:rsidRPr="001C08AD">
              <w:rPr>
                <w:rFonts w:ascii="Times New Roman" w:hAnsi="Times New Roman"/>
                <w:iCs/>
                <w:sz w:val="20"/>
                <w:szCs w:val="20"/>
              </w:rPr>
              <w:t>)</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 xml:space="preserve">( </w:t>
            </w:r>
            <w:proofErr w:type="gramEnd"/>
            <w:r w:rsidRPr="001C08AD">
              <w:rPr>
                <w:rFonts w:ascii="Times New Roman" w:hAnsi="Times New Roman"/>
                <w:sz w:val="20"/>
                <w:szCs w:val="20"/>
              </w:rPr>
              <w:t xml:space="preserve">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402174" w:rsidRPr="001C08AD" w:rsidRDefault="00402174" w:rsidP="00402174">
            <w:pPr>
              <w:spacing w:after="0" w:line="240" w:lineRule="auto"/>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E96523" w:rsidRPr="008F4290" w:rsidRDefault="00E96523">
      <w:pPr>
        <w:spacing w:after="0" w:line="240" w:lineRule="auto"/>
        <w:rPr>
          <w:rFonts w:ascii="Times New Roman" w:eastAsia="Times New Roman" w:hAnsi="Times New Roman" w:cs="Times New Roman"/>
          <w:sz w:val="20"/>
          <w:szCs w:val="20"/>
          <w:lang w:val="uk-UA"/>
        </w:rPr>
      </w:pPr>
    </w:p>
    <w:p w:rsidR="00402174" w:rsidRPr="00FC3B2E" w:rsidRDefault="00402174" w:rsidP="00402174">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402174" w:rsidRPr="00FC3B2E" w:rsidSect="00402174">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FC7"/>
    <w:multiLevelType w:val="multilevel"/>
    <w:tmpl w:val="4A24D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E96523"/>
    <w:rsid w:val="00054D9B"/>
    <w:rsid w:val="001A38C0"/>
    <w:rsid w:val="00366802"/>
    <w:rsid w:val="00402174"/>
    <w:rsid w:val="005800CE"/>
    <w:rsid w:val="008F4290"/>
    <w:rsid w:val="00CD73D5"/>
    <w:rsid w:val="00E27BF0"/>
    <w:rsid w:val="00E96523"/>
    <w:rsid w:val="00F41E98"/>
    <w:rsid w:val="00FC3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 w:type="paragraph" w:styleId="af0">
    <w:name w:val="Balloon Text"/>
    <w:basedOn w:val="a"/>
    <w:link w:val="af1"/>
    <w:uiPriority w:val="99"/>
    <w:semiHidden/>
    <w:unhideWhenUsed/>
    <w:rsid w:val="00E27B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 w:type="paragraph" w:styleId="af0">
    <w:name w:val="Balloon Text"/>
    <w:basedOn w:val="a"/>
    <w:link w:val="af1"/>
    <w:uiPriority w:val="99"/>
    <w:semiHidden/>
    <w:unhideWhenUsed/>
    <w:rsid w:val="00E27B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14208</Words>
  <Characters>8100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cp:lastPrinted>2023-03-10T07:35:00Z</cp:lastPrinted>
  <dcterms:created xsi:type="dcterms:W3CDTF">2023-03-10T07:36:00Z</dcterms:created>
  <dcterms:modified xsi:type="dcterms:W3CDTF">2023-03-10T07:36:00Z</dcterms:modified>
</cp:coreProperties>
</file>