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before="66"/>
        <w:ind w:left="12049"/>
        <w:rPr>
          <w:rFonts w:hint="default"/>
          <w:b/>
          <w:color w:val="000000"/>
          <w:sz w:val="24"/>
          <w:szCs w:val="24"/>
          <w:lang w:val="ru-RU"/>
        </w:rPr>
      </w:pPr>
      <w:r>
        <w:rPr>
          <w:b/>
          <w:color w:val="000000"/>
          <w:sz w:val="24"/>
          <w:szCs w:val="24"/>
        </w:rPr>
        <w:t xml:space="preserve">Додаток </w:t>
      </w:r>
      <w:r>
        <w:rPr>
          <w:rFonts w:hint="default"/>
          <w:b/>
          <w:color w:val="000000"/>
          <w:sz w:val="24"/>
          <w:szCs w:val="24"/>
          <w:lang w:val="ru-RU"/>
        </w:rPr>
        <w:t>2</w:t>
      </w:r>
    </w:p>
    <w:p>
      <w:pPr>
        <w:ind w:left="12049"/>
        <w:rPr>
          <w:b/>
          <w:sz w:val="24"/>
          <w:szCs w:val="24"/>
        </w:rPr>
      </w:pPr>
      <w:r>
        <w:rPr>
          <w:b/>
          <w:sz w:val="24"/>
          <w:szCs w:val="24"/>
        </w:rPr>
        <w:t>до тендерної документації</w:t>
      </w:r>
    </w:p>
    <w:p>
      <w:pPr>
        <w:ind w:left="12049"/>
        <w:rPr>
          <w:sz w:val="16"/>
          <w:szCs w:val="16"/>
        </w:rPr>
      </w:pPr>
    </w:p>
    <w:p>
      <w:pPr>
        <w:widowControl/>
        <w:spacing w:before="240" w:after="240"/>
        <w:ind w:left="120"/>
        <w:jc w:val="center"/>
        <w:rPr>
          <w:b/>
          <w:sz w:val="32"/>
          <w:szCs w:val="32"/>
        </w:rPr>
      </w:pPr>
      <w:r>
        <w:rPr>
          <w:b/>
          <w:sz w:val="32"/>
          <w:szCs w:val="32"/>
        </w:rPr>
        <w:t>ДОВІДКА ПРО НЕОБХІДНІ ТЕХНІЧНІ, ЯКІСНІ ТА КІЛЬКІСНІ ХАРАКТЕРИСТИКИ ПРЕДМЕТА ЗАКУПІВЛІ</w:t>
      </w:r>
      <w:r>
        <w:rPr>
          <w:b/>
          <w:color w:val="000000"/>
          <w:sz w:val="32"/>
          <w:szCs w:val="32"/>
        </w:rPr>
        <w:t xml:space="preserve"> </w:t>
      </w:r>
    </w:p>
    <w:p>
      <w:pPr>
        <w:widowControl/>
        <w:spacing w:before="240" w:after="240"/>
        <w:ind w:left="120"/>
        <w:rPr>
          <w:b/>
          <w:color w:val="000000"/>
          <w:sz w:val="24"/>
          <w:szCs w:val="24"/>
        </w:rPr>
      </w:pPr>
      <w:r>
        <w:rPr>
          <w:b/>
          <w:color w:val="000000"/>
          <w:sz w:val="24"/>
          <w:szCs w:val="24"/>
        </w:rPr>
        <w:t>Вимоги до предмета закупівлі, які встановлює Замовник:</w:t>
      </w:r>
    </w:p>
    <w:p>
      <w:pPr>
        <w:widowControl/>
        <w:spacing w:before="240" w:after="240"/>
        <w:ind w:left="120"/>
        <w:jc w:val="right"/>
        <w:rPr>
          <w:b/>
          <w:sz w:val="24"/>
          <w:szCs w:val="24"/>
        </w:rPr>
      </w:pPr>
      <w:bookmarkStart w:id="0" w:name="_heading=h.gjdgxs" w:colFirst="0" w:colLast="0"/>
      <w:bookmarkEnd w:id="0"/>
      <w:r>
        <w:rPr>
          <w:b/>
          <w:color w:val="000000"/>
          <w:sz w:val="24"/>
          <w:szCs w:val="24"/>
        </w:rPr>
        <w:t>Таблиця 1</w:t>
      </w:r>
    </w:p>
    <w:tbl>
      <w:tblPr>
        <w:tblStyle w:val="58"/>
        <w:tblW w:w="151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3285"/>
        <w:gridCol w:w="4860"/>
        <w:gridCol w:w="1927"/>
        <w:gridCol w:w="1559"/>
        <w:gridCol w:w="2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Mar>
              <w:top w:w="100" w:type="dxa"/>
              <w:left w:w="100" w:type="dxa"/>
              <w:bottom w:w="100" w:type="dxa"/>
              <w:right w:w="100" w:type="dxa"/>
            </w:tcMar>
          </w:tcPr>
          <w:p>
            <w:pPr>
              <w:widowControl/>
              <w:jc w:val="center"/>
              <w:rPr>
                <w:b/>
              </w:rPr>
            </w:pPr>
            <w:r>
              <w:rPr>
                <w:b/>
                <w:color w:val="000000"/>
              </w:rPr>
              <w:t>№</w:t>
            </w:r>
            <w:r>
              <w:t xml:space="preserve">     </w:t>
            </w:r>
            <w:r>
              <w:rPr>
                <w:b/>
                <w:color w:val="000000"/>
              </w:rPr>
              <w:t>з/п</w:t>
            </w:r>
          </w:p>
        </w:tc>
        <w:tc>
          <w:tcPr>
            <w:tcW w:w="3285" w:type="dxa"/>
            <w:tcMar>
              <w:top w:w="100" w:type="dxa"/>
              <w:left w:w="100" w:type="dxa"/>
              <w:bottom w:w="100" w:type="dxa"/>
              <w:right w:w="100" w:type="dxa"/>
            </w:tcMar>
          </w:tcPr>
          <w:p>
            <w:pPr>
              <w:widowControl/>
              <w:jc w:val="center"/>
              <w:rPr>
                <w:b/>
                <w:bCs/>
              </w:rPr>
            </w:pPr>
            <w:r>
              <w:rPr>
                <w:b/>
                <w:bCs/>
              </w:rPr>
              <w:t>Найменування предмета закупівлі (медичного виробу)</w:t>
            </w:r>
          </w:p>
        </w:tc>
        <w:tc>
          <w:tcPr>
            <w:tcW w:w="4860" w:type="dxa"/>
            <w:tcMar>
              <w:top w:w="100" w:type="dxa"/>
              <w:left w:w="100" w:type="dxa"/>
              <w:bottom w:w="100" w:type="dxa"/>
              <w:right w:w="100" w:type="dxa"/>
            </w:tcMar>
          </w:tcPr>
          <w:p>
            <w:pPr>
              <w:widowControl/>
              <w:jc w:val="center"/>
              <w:rPr>
                <w:b/>
                <w:bCs/>
              </w:rPr>
            </w:pPr>
            <w:r>
              <w:rPr>
                <w:b/>
                <w:bCs/>
              </w:rPr>
              <w:t>Комплектація одного комплекту</w:t>
            </w:r>
          </w:p>
        </w:tc>
        <w:tc>
          <w:tcPr>
            <w:tcW w:w="1927" w:type="dxa"/>
            <w:tcMar>
              <w:top w:w="100" w:type="dxa"/>
              <w:left w:w="100" w:type="dxa"/>
              <w:bottom w:w="100" w:type="dxa"/>
              <w:right w:w="100" w:type="dxa"/>
            </w:tcMar>
          </w:tcPr>
          <w:p>
            <w:pPr>
              <w:widowControl/>
              <w:jc w:val="center"/>
              <w:rPr>
                <w:b/>
                <w:bCs/>
                <w:highlight w:val="yellow"/>
              </w:rPr>
            </w:pPr>
            <w:r>
              <w:rPr>
                <w:b/>
                <w:bCs/>
              </w:rPr>
              <w:t>Одиниці виміру</w:t>
            </w:r>
          </w:p>
        </w:tc>
        <w:tc>
          <w:tcPr>
            <w:tcW w:w="1559" w:type="dxa"/>
            <w:tcMar>
              <w:top w:w="100" w:type="dxa"/>
              <w:left w:w="100" w:type="dxa"/>
              <w:bottom w:w="100" w:type="dxa"/>
              <w:right w:w="100" w:type="dxa"/>
            </w:tcMar>
          </w:tcPr>
          <w:p>
            <w:pPr>
              <w:widowControl/>
              <w:jc w:val="center"/>
              <w:rPr>
                <w:b/>
                <w:bCs/>
              </w:rPr>
            </w:pPr>
            <w:r>
              <w:rPr>
                <w:b/>
                <w:bCs/>
              </w:rPr>
              <w:t>Кількість</w:t>
            </w:r>
          </w:p>
        </w:tc>
        <w:tc>
          <w:tcPr>
            <w:tcW w:w="2919" w:type="dxa"/>
            <w:tcMar>
              <w:top w:w="100" w:type="dxa"/>
              <w:left w:w="100" w:type="dxa"/>
              <w:bottom w:w="100" w:type="dxa"/>
              <w:right w:w="100" w:type="dxa"/>
            </w:tcMar>
          </w:tcPr>
          <w:p>
            <w:pPr>
              <w:widowControl/>
              <w:jc w:val="center"/>
              <w:rPr>
                <w:b/>
                <w:bCs/>
              </w:rPr>
            </w:pPr>
            <w:r>
              <w:rPr>
                <w:b/>
                <w:bCs/>
              </w:rPr>
              <w:t>Строк поставки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1" w:hRule="atLeast"/>
        </w:trPr>
        <w:tc>
          <w:tcPr>
            <w:tcW w:w="555" w:type="dxa"/>
            <w:tcMar>
              <w:top w:w="100" w:type="dxa"/>
              <w:left w:w="100" w:type="dxa"/>
              <w:bottom w:w="100" w:type="dxa"/>
              <w:right w:w="100" w:type="dxa"/>
            </w:tcMar>
          </w:tcPr>
          <w:p>
            <w:pPr>
              <w:widowControl/>
            </w:pPr>
            <w:r>
              <w:t>1</w:t>
            </w:r>
          </w:p>
        </w:tc>
        <w:tc>
          <w:tcPr>
            <w:tcW w:w="3285" w:type="dxa"/>
            <w:tcMar>
              <w:top w:w="100" w:type="dxa"/>
              <w:left w:w="100" w:type="dxa"/>
              <w:bottom w:w="100" w:type="dxa"/>
              <w:right w:w="100" w:type="dxa"/>
            </w:tcMar>
          </w:tcPr>
          <w:p>
            <w:pPr>
              <w:widowControl/>
              <w:jc w:val="center"/>
              <w:rPr>
                <w:sz w:val="24"/>
                <w:szCs w:val="24"/>
                <w:highlight w:val="yellow"/>
              </w:rPr>
            </w:pPr>
            <w:r>
              <w:rPr>
                <w:sz w:val="24"/>
                <w:szCs w:val="24"/>
              </w:rPr>
              <w:t>Система для транспедикулярної фіксації хребта (4 гвинта)</w:t>
            </w:r>
          </w:p>
        </w:tc>
        <w:tc>
          <w:tcPr>
            <w:tcW w:w="4860" w:type="dxa"/>
            <w:tcMar>
              <w:top w:w="100" w:type="dxa"/>
              <w:left w:w="100" w:type="dxa"/>
              <w:bottom w:w="100" w:type="dxa"/>
              <w:right w:w="100" w:type="dxa"/>
            </w:tcMar>
          </w:tcPr>
          <w:p>
            <w:pPr>
              <w:rPr>
                <w:sz w:val="24"/>
                <w:szCs w:val="24"/>
              </w:rPr>
            </w:pPr>
            <w:r>
              <w:rPr>
                <w:sz w:val="24"/>
                <w:szCs w:val="24"/>
              </w:rPr>
              <w:t>Система для транспедикулярної фіксації хребта (4 гвинта):</w:t>
            </w:r>
          </w:p>
          <w:p>
            <w:pPr>
              <w:rPr>
                <w:b/>
                <w:sz w:val="24"/>
                <w:szCs w:val="24"/>
              </w:rPr>
            </w:pPr>
            <w:r>
              <w:rPr>
                <w:b/>
                <w:sz w:val="24"/>
                <w:szCs w:val="24"/>
              </w:rPr>
              <w:t>1. Гвинти - 4 шт.</w:t>
            </w:r>
          </w:p>
          <w:p>
            <w:pPr>
              <w:rPr>
                <w:b/>
                <w:sz w:val="24"/>
                <w:szCs w:val="24"/>
              </w:rPr>
            </w:pPr>
            <w:r>
              <w:rPr>
                <w:b/>
                <w:sz w:val="24"/>
                <w:szCs w:val="24"/>
              </w:rPr>
              <w:t xml:space="preserve">2. Балка транспедикулярна - </w:t>
            </w:r>
            <w:r>
              <w:rPr>
                <w:b/>
                <w:sz w:val="24"/>
                <w:szCs w:val="24"/>
                <w:lang w:val="uk-UA"/>
              </w:rPr>
              <w:t>1</w:t>
            </w:r>
            <w:r>
              <w:rPr>
                <w:b/>
                <w:sz w:val="24"/>
                <w:szCs w:val="24"/>
              </w:rPr>
              <w:t xml:space="preserve"> шт.</w:t>
            </w:r>
          </w:p>
          <w:p>
            <w:pPr>
              <w:rPr>
                <w:b/>
                <w:sz w:val="24"/>
                <w:szCs w:val="24"/>
              </w:rPr>
            </w:pPr>
            <w:r>
              <w:rPr>
                <w:b/>
                <w:sz w:val="24"/>
                <w:szCs w:val="24"/>
              </w:rPr>
              <w:t>3. Гайки - 4 шт.</w:t>
            </w:r>
          </w:p>
          <w:p>
            <w:pPr>
              <w:rPr>
                <w:sz w:val="24"/>
                <w:szCs w:val="24"/>
                <w:highlight w:val="yellow"/>
              </w:rPr>
            </w:pPr>
            <w:r>
              <w:rPr>
                <w:b/>
                <w:sz w:val="24"/>
                <w:szCs w:val="24"/>
              </w:rPr>
              <w:t>4. Поперечн</w:t>
            </w:r>
            <w:r>
              <w:rPr>
                <w:b/>
                <w:sz w:val="24"/>
                <w:szCs w:val="24"/>
                <w:lang w:val="uk-UA"/>
              </w:rPr>
              <w:t>ий конектор</w:t>
            </w:r>
            <w:r>
              <w:rPr>
                <w:b/>
                <w:sz w:val="24"/>
                <w:szCs w:val="24"/>
              </w:rPr>
              <w:t xml:space="preserve"> - 1 шт.</w:t>
            </w:r>
          </w:p>
        </w:tc>
        <w:tc>
          <w:tcPr>
            <w:tcW w:w="1927" w:type="dxa"/>
            <w:tcMar>
              <w:top w:w="100" w:type="dxa"/>
              <w:left w:w="100" w:type="dxa"/>
              <w:bottom w:w="100" w:type="dxa"/>
              <w:right w:w="100" w:type="dxa"/>
            </w:tcMar>
          </w:tcPr>
          <w:p>
            <w:pPr>
              <w:jc w:val="center"/>
              <w:rPr>
                <w:sz w:val="24"/>
                <w:szCs w:val="24"/>
              </w:rPr>
            </w:pPr>
          </w:p>
          <w:p>
            <w:pPr>
              <w:jc w:val="center"/>
              <w:rPr>
                <w:rFonts w:hint="default"/>
                <w:sz w:val="24"/>
                <w:szCs w:val="24"/>
                <w:lang w:val="uk-UA"/>
              </w:rPr>
            </w:pPr>
            <w:r>
              <w:rPr>
                <w:b/>
                <w:sz w:val="24"/>
                <w:szCs w:val="24"/>
              </w:rPr>
              <w:t>набі</w:t>
            </w:r>
            <w:r>
              <w:rPr>
                <w:b/>
                <w:sz w:val="24"/>
                <w:szCs w:val="24"/>
                <w:lang w:val="ru-RU"/>
              </w:rPr>
              <w:t>р</w:t>
            </w:r>
          </w:p>
        </w:tc>
        <w:tc>
          <w:tcPr>
            <w:tcW w:w="1559" w:type="dxa"/>
            <w:tcMar>
              <w:top w:w="100" w:type="dxa"/>
              <w:left w:w="100" w:type="dxa"/>
              <w:bottom w:w="100" w:type="dxa"/>
              <w:right w:w="100" w:type="dxa"/>
            </w:tcMar>
          </w:tcPr>
          <w:p>
            <w:pPr>
              <w:jc w:val="center"/>
              <w:rPr>
                <w:sz w:val="24"/>
                <w:szCs w:val="24"/>
              </w:rPr>
            </w:pPr>
          </w:p>
          <w:p>
            <w:pPr>
              <w:jc w:val="center"/>
              <w:rPr>
                <w:sz w:val="24"/>
                <w:szCs w:val="24"/>
              </w:rPr>
            </w:pPr>
            <w:r>
              <w:rPr>
                <w:sz w:val="24"/>
                <w:szCs w:val="24"/>
              </w:rPr>
              <w:t>40</w:t>
            </w:r>
          </w:p>
        </w:tc>
        <w:tc>
          <w:tcPr>
            <w:tcW w:w="2919" w:type="dxa"/>
            <w:shd w:val="clear" w:color="auto" w:fill="auto"/>
            <w:tcMar>
              <w:top w:w="100" w:type="dxa"/>
              <w:left w:w="100" w:type="dxa"/>
              <w:bottom w:w="100" w:type="dxa"/>
              <w:right w:w="100" w:type="dxa"/>
            </w:tcMar>
          </w:tcPr>
          <w:p>
            <w:pPr>
              <w:jc w:val="center"/>
              <w:rPr>
                <w:sz w:val="24"/>
                <w:szCs w:val="24"/>
                <w:lang w:val="uk-UA" w:eastAsia="uk-UA"/>
              </w:rPr>
            </w:pPr>
            <w:r>
              <w:rPr>
                <w:rFonts w:hint="default"/>
                <w:sz w:val="24"/>
                <w:szCs w:val="24"/>
                <w:lang w:val="ru-RU" w:eastAsia="uk-UA"/>
              </w:rPr>
              <w:t>3</w:t>
            </w:r>
            <w:r>
              <w:rPr>
                <w:sz w:val="24"/>
                <w:szCs w:val="24"/>
                <w:lang w:val="uk-UA" w:eastAsia="uk-UA"/>
              </w:rPr>
              <w:t>1.1</w:t>
            </w:r>
            <w:r>
              <w:rPr>
                <w:rFonts w:hint="default"/>
                <w:sz w:val="24"/>
                <w:szCs w:val="24"/>
                <w:lang w:val="ru-RU" w:eastAsia="uk-UA"/>
              </w:rPr>
              <w:t>2</w:t>
            </w:r>
            <w:r>
              <w:rPr>
                <w:sz w:val="24"/>
                <w:szCs w:val="24"/>
                <w:lang w:val="uk-UA" w:eastAsia="uk-UA"/>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1" w:hRule="atLeast"/>
        </w:trPr>
        <w:tc>
          <w:tcPr>
            <w:tcW w:w="555" w:type="dxa"/>
            <w:tcMar>
              <w:top w:w="100" w:type="dxa"/>
              <w:left w:w="100" w:type="dxa"/>
              <w:bottom w:w="100" w:type="dxa"/>
              <w:right w:w="100" w:type="dxa"/>
            </w:tcMar>
          </w:tcPr>
          <w:p>
            <w:pPr>
              <w:widowControl/>
              <w:rPr>
                <w:lang w:val="uk-UA"/>
              </w:rPr>
            </w:pPr>
            <w:r>
              <w:rPr>
                <w:lang w:val="uk-UA"/>
              </w:rPr>
              <w:t>2</w:t>
            </w:r>
          </w:p>
        </w:tc>
        <w:tc>
          <w:tcPr>
            <w:tcW w:w="3285" w:type="dxa"/>
            <w:tcMar>
              <w:top w:w="100" w:type="dxa"/>
              <w:left w:w="100" w:type="dxa"/>
              <w:bottom w:w="100" w:type="dxa"/>
              <w:right w:w="100" w:type="dxa"/>
            </w:tcMar>
          </w:tcPr>
          <w:p>
            <w:pPr>
              <w:widowControl/>
              <w:jc w:val="center"/>
              <w:rPr>
                <w:bCs/>
                <w:sz w:val="24"/>
                <w:szCs w:val="24"/>
              </w:rPr>
            </w:pPr>
            <w:r>
              <w:rPr>
                <w:bCs/>
                <w:sz w:val="24"/>
                <w:szCs w:val="24"/>
                <w:lang w:val="uk-UA"/>
              </w:rPr>
              <w:t>Шийний кейдж</w:t>
            </w:r>
          </w:p>
        </w:tc>
        <w:tc>
          <w:tcPr>
            <w:tcW w:w="4860" w:type="dxa"/>
            <w:tcMar>
              <w:top w:w="100" w:type="dxa"/>
              <w:left w:w="100" w:type="dxa"/>
              <w:bottom w:w="100" w:type="dxa"/>
              <w:right w:w="100" w:type="dxa"/>
            </w:tcMar>
          </w:tcPr>
          <w:p>
            <w:pPr>
              <w:rPr>
                <w:sz w:val="24"/>
                <w:szCs w:val="24"/>
                <w:lang w:val="uk-UA"/>
              </w:rPr>
            </w:pPr>
            <w:r>
              <w:rPr>
                <w:sz w:val="24"/>
                <w:szCs w:val="24"/>
                <w:lang w:val="uk-UA"/>
              </w:rPr>
              <w:t>1 шт</w:t>
            </w:r>
          </w:p>
        </w:tc>
        <w:tc>
          <w:tcPr>
            <w:tcW w:w="1927" w:type="dxa"/>
            <w:tcMar>
              <w:top w:w="100" w:type="dxa"/>
              <w:left w:w="100" w:type="dxa"/>
              <w:bottom w:w="100" w:type="dxa"/>
              <w:right w:w="100" w:type="dxa"/>
            </w:tcMar>
          </w:tcPr>
          <w:p>
            <w:pPr>
              <w:jc w:val="center"/>
              <w:rPr>
                <w:sz w:val="24"/>
                <w:szCs w:val="24"/>
                <w:lang w:val="uk-UA"/>
              </w:rPr>
            </w:pPr>
            <w:r>
              <w:rPr>
                <w:sz w:val="24"/>
                <w:szCs w:val="24"/>
                <w:lang w:val="uk-UA"/>
              </w:rPr>
              <w:t>штук</w:t>
            </w:r>
          </w:p>
        </w:tc>
        <w:tc>
          <w:tcPr>
            <w:tcW w:w="1559" w:type="dxa"/>
            <w:tcMar>
              <w:top w:w="100" w:type="dxa"/>
              <w:left w:w="100" w:type="dxa"/>
              <w:bottom w:w="100" w:type="dxa"/>
              <w:right w:w="100" w:type="dxa"/>
            </w:tcMar>
          </w:tcPr>
          <w:p>
            <w:pPr>
              <w:jc w:val="center"/>
              <w:rPr>
                <w:sz w:val="24"/>
                <w:szCs w:val="24"/>
                <w:lang w:val="uk-UA"/>
              </w:rPr>
            </w:pPr>
            <w:r>
              <w:rPr>
                <w:sz w:val="24"/>
                <w:szCs w:val="24"/>
                <w:lang w:val="uk-UA"/>
              </w:rPr>
              <w:t>20</w:t>
            </w:r>
          </w:p>
        </w:tc>
        <w:tc>
          <w:tcPr>
            <w:tcW w:w="2919" w:type="dxa"/>
            <w:shd w:val="clear" w:color="auto" w:fill="auto"/>
            <w:tcMar>
              <w:top w:w="100" w:type="dxa"/>
              <w:left w:w="100" w:type="dxa"/>
              <w:bottom w:w="100" w:type="dxa"/>
              <w:right w:w="100" w:type="dxa"/>
            </w:tcMar>
          </w:tcPr>
          <w:p>
            <w:pPr>
              <w:jc w:val="center"/>
              <w:rPr>
                <w:sz w:val="24"/>
                <w:szCs w:val="24"/>
                <w:lang w:eastAsia="uk-UA"/>
              </w:rPr>
            </w:pPr>
            <w:r>
              <w:rPr>
                <w:rFonts w:hint="default"/>
                <w:sz w:val="24"/>
                <w:szCs w:val="24"/>
                <w:lang w:val="ru-RU" w:eastAsia="uk-UA"/>
              </w:rPr>
              <w:t>3</w:t>
            </w:r>
            <w:r>
              <w:rPr>
                <w:sz w:val="24"/>
                <w:szCs w:val="24"/>
                <w:lang w:val="uk-UA" w:eastAsia="uk-UA"/>
              </w:rPr>
              <w:t>1.1</w:t>
            </w:r>
            <w:r>
              <w:rPr>
                <w:rFonts w:hint="default"/>
                <w:sz w:val="24"/>
                <w:szCs w:val="24"/>
                <w:lang w:val="ru-RU" w:eastAsia="uk-UA"/>
              </w:rPr>
              <w:t>2</w:t>
            </w:r>
            <w:r>
              <w:rPr>
                <w:sz w:val="24"/>
                <w:szCs w:val="24"/>
                <w:lang w:val="uk-UA" w:eastAsia="uk-UA"/>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1" w:hRule="atLeast"/>
        </w:trPr>
        <w:tc>
          <w:tcPr>
            <w:tcW w:w="555" w:type="dxa"/>
            <w:tcMar>
              <w:top w:w="100" w:type="dxa"/>
              <w:left w:w="100" w:type="dxa"/>
              <w:bottom w:w="100" w:type="dxa"/>
              <w:right w:w="100" w:type="dxa"/>
            </w:tcMar>
          </w:tcPr>
          <w:p>
            <w:pPr>
              <w:widowControl/>
              <w:rPr>
                <w:lang w:val="uk-UA"/>
              </w:rPr>
            </w:pPr>
            <w:r>
              <w:rPr>
                <w:lang w:val="uk-UA"/>
              </w:rPr>
              <w:t>3</w:t>
            </w:r>
          </w:p>
        </w:tc>
        <w:tc>
          <w:tcPr>
            <w:tcW w:w="3285" w:type="dxa"/>
            <w:tcMar>
              <w:top w:w="100" w:type="dxa"/>
              <w:left w:w="100" w:type="dxa"/>
              <w:bottom w:w="100" w:type="dxa"/>
              <w:right w:w="100" w:type="dxa"/>
            </w:tcMar>
          </w:tcPr>
          <w:p>
            <w:pPr>
              <w:widowControl/>
              <w:jc w:val="center"/>
              <w:rPr>
                <w:bCs/>
                <w:sz w:val="24"/>
                <w:szCs w:val="24"/>
                <w:lang w:val="uk-UA"/>
              </w:rPr>
            </w:pPr>
            <w:r>
              <w:rPr>
                <w:bCs/>
                <w:sz w:val="24"/>
                <w:szCs w:val="24"/>
                <w:lang w:val="uk-UA"/>
              </w:rPr>
              <w:t>Голка для вертебопластики</w:t>
            </w:r>
          </w:p>
        </w:tc>
        <w:tc>
          <w:tcPr>
            <w:tcW w:w="4860" w:type="dxa"/>
            <w:tcMar>
              <w:top w:w="100" w:type="dxa"/>
              <w:left w:w="100" w:type="dxa"/>
              <w:bottom w:w="100" w:type="dxa"/>
              <w:right w:w="100" w:type="dxa"/>
            </w:tcMar>
          </w:tcPr>
          <w:p>
            <w:pPr>
              <w:rPr>
                <w:sz w:val="24"/>
                <w:szCs w:val="24"/>
                <w:lang w:val="uk-UA"/>
              </w:rPr>
            </w:pPr>
            <w:r>
              <w:rPr>
                <w:sz w:val="24"/>
                <w:szCs w:val="24"/>
                <w:lang w:val="uk-UA"/>
              </w:rPr>
              <w:t>1шт</w:t>
            </w:r>
          </w:p>
        </w:tc>
        <w:tc>
          <w:tcPr>
            <w:tcW w:w="1927" w:type="dxa"/>
            <w:tcMar>
              <w:top w:w="100" w:type="dxa"/>
              <w:left w:w="100" w:type="dxa"/>
              <w:bottom w:w="100" w:type="dxa"/>
              <w:right w:w="100" w:type="dxa"/>
            </w:tcMar>
          </w:tcPr>
          <w:p>
            <w:pPr>
              <w:jc w:val="center"/>
              <w:rPr>
                <w:sz w:val="24"/>
                <w:szCs w:val="24"/>
                <w:lang w:val="uk-UA"/>
              </w:rPr>
            </w:pPr>
            <w:r>
              <w:rPr>
                <w:sz w:val="24"/>
                <w:szCs w:val="24"/>
                <w:lang w:val="uk-UA"/>
              </w:rPr>
              <w:t>штук</w:t>
            </w:r>
          </w:p>
        </w:tc>
        <w:tc>
          <w:tcPr>
            <w:tcW w:w="1559" w:type="dxa"/>
            <w:tcMar>
              <w:top w:w="100" w:type="dxa"/>
              <w:left w:w="100" w:type="dxa"/>
              <w:bottom w:w="100" w:type="dxa"/>
              <w:right w:w="100" w:type="dxa"/>
            </w:tcMar>
          </w:tcPr>
          <w:p>
            <w:pPr>
              <w:jc w:val="center"/>
              <w:rPr>
                <w:sz w:val="24"/>
                <w:szCs w:val="24"/>
                <w:lang w:val="uk-UA"/>
              </w:rPr>
            </w:pPr>
            <w:r>
              <w:rPr>
                <w:sz w:val="24"/>
                <w:szCs w:val="24"/>
                <w:lang w:val="uk-UA"/>
              </w:rPr>
              <w:t>10</w:t>
            </w:r>
          </w:p>
        </w:tc>
        <w:tc>
          <w:tcPr>
            <w:tcW w:w="2919" w:type="dxa"/>
            <w:shd w:val="clear" w:color="auto" w:fill="auto"/>
            <w:tcMar>
              <w:top w:w="100" w:type="dxa"/>
              <w:left w:w="100" w:type="dxa"/>
              <w:bottom w:w="100" w:type="dxa"/>
              <w:right w:w="100" w:type="dxa"/>
            </w:tcMar>
          </w:tcPr>
          <w:p>
            <w:pPr>
              <w:jc w:val="center"/>
              <w:rPr>
                <w:sz w:val="24"/>
                <w:szCs w:val="24"/>
                <w:lang w:eastAsia="uk-UA"/>
              </w:rPr>
            </w:pPr>
            <w:r>
              <w:rPr>
                <w:rFonts w:hint="default"/>
                <w:sz w:val="24"/>
                <w:szCs w:val="24"/>
                <w:lang w:val="ru-RU" w:eastAsia="uk-UA"/>
              </w:rPr>
              <w:t>3</w:t>
            </w:r>
            <w:r>
              <w:rPr>
                <w:sz w:val="24"/>
                <w:szCs w:val="24"/>
                <w:lang w:val="uk-UA" w:eastAsia="uk-UA"/>
              </w:rPr>
              <w:t>1.1</w:t>
            </w:r>
            <w:r>
              <w:rPr>
                <w:rFonts w:hint="default"/>
                <w:sz w:val="24"/>
                <w:szCs w:val="24"/>
                <w:lang w:val="ru-RU" w:eastAsia="uk-UA"/>
              </w:rPr>
              <w:t>2</w:t>
            </w:r>
            <w:r>
              <w:rPr>
                <w:sz w:val="24"/>
                <w:szCs w:val="24"/>
                <w:lang w:val="uk-UA" w:eastAsia="uk-UA"/>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1" w:hRule="atLeast"/>
        </w:trPr>
        <w:tc>
          <w:tcPr>
            <w:tcW w:w="555" w:type="dxa"/>
            <w:tcMar>
              <w:top w:w="100" w:type="dxa"/>
              <w:left w:w="100" w:type="dxa"/>
              <w:bottom w:w="100" w:type="dxa"/>
              <w:right w:w="100" w:type="dxa"/>
            </w:tcMar>
          </w:tcPr>
          <w:p>
            <w:pPr>
              <w:widowControl/>
              <w:rPr>
                <w:lang w:val="uk-UA"/>
              </w:rPr>
            </w:pPr>
            <w:r>
              <w:rPr>
                <w:lang w:val="uk-UA"/>
              </w:rPr>
              <w:t>4</w:t>
            </w:r>
          </w:p>
        </w:tc>
        <w:tc>
          <w:tcPr>
            <w:tcW w:w="3285" w:type="dxa"/>
            <w:tcMar>
              <w:top w:w="100" w:type="dxa"/>
              <w:left w:w="100" w:type="dxa"/>
              <w:bottom w:w="100" w:type="dxa"/>
              <w:right w:w="100" w:type="dxa"/>
            </w:tcMar>
          </w:tcPr>
          <w:p>
            <w:pPr>
              <w:widowControl/>
              <w:jc w:val="center"/>
              <w:rPr>
                <w:bCs/>
                <w:sz w:val="24"/>
                <w:szCs w:val="24"/>
                <w:lang w:val="uk-UA"/>
              </w:rPr>
            </w:pPr>
            <w:r>
              <w:rPr>
                <w:bCs/>
                <w:sz w:val="24"/>
                <w:szCs w:val="24"/>
                <w:lang w:val="uk-UA"/>
              </w:rPr>
              <w:t>Цемент для вертебопластики</w:t>
            </w:r>
          </w:p>
        </w:tc>
        <w:tc>
          <w:tcPr>
            <w:tcW w:w="4860" w:type="dxa"/>
            <w:tcMar>
              <w:top w:w="100" w:type="dxa"/>
              <w:left w:w="100" w:type="dxa"/>
              <w:bottom w:w="100" w:type="dxa"/>
              <w:right w:w="100" w:type="dxa"/>
            </w:tcMar>
          </w:tcPr>
          <w:p>
            <w:pPr>
              <w:rPr>
                <w:sz w:val="24"/>
                <w:szCs w:val="24"/>
                <w:lang w:val="uk-UA"/>
              </w:rPr>
            </w:pPr>
            <w:r>
              <w:rPr>
                <w:sz w:val="24"/>
                <w:szCs w:val="24"/>
                <w:lang w:val="uk-UA"/>
              </w:rPr>
              <w:t>1шт</w:t>
            </w:r>
          </w:p>
        </w:tc>
        <w:tc>
          <w:tcPr>
            <w:tcW w:w="1927" w:type="dxa"/>
            <w:tcMar>
              <w:top w:w="100" w:type="dxa"/>
              <w:left w:w="100" w:type="dxa"/>
              <w:bottom w:w="100" w:type="dxa"/>
              <w:right w:w="100" w:type="dxa"/>
            </w:tcMar>
          </w:tcPr>
          <w:p>
            <w:pPr>
              <w:jc w:val="center"/>
              <w:rPr>
                <w:sz w:val="24"/>
                <w:szCs w:val="24"/>
                <w:lang w:val="uk-UA"/>
              </w:rPr>
            </w:pPr>
            <w:r>
              <w:rPr>
                <w:sz w:val="24"/>
                <w:szCs w:val="24"/>
                <w:lang w:val="uk-UA"/>
              </w:rPr>
              <w:t>штук</w:t>
            </w:r>
          </w:p>
        </w:tc>
        <w:tc>
          <w:tcPr>
            <w:tcW w:w="1559" w:type="dxa"/>
            <w:tcMar>
              <w:top w:w="100" w:type="dxa"/>
              <w:left w:w="100" w:type="dxa"/>
              <w:bottom w:w="100" w:type="dxa"/>
              <w:right w:w="100" w:type="dxa"/>
            </w:tcMar>
          </w:tcPr>
          <w:p>
            <w:pPr>
              <w:jc w:val="center"/>
              <w:rPr>
                <w:sz w:val="24"/>
                <w:szCs w:val="24"/>
                <w:lang w:val="uk-UA"/>
              </w:rPr>
            </w:pPr>
            <w:r>
              <w:rPr>
                <w:sz w:val="24"/>
                <w:szCs w:val="24"/>
                <w:lang w:val="uk-UA"/>
              </w:rPr>
              <w:t>10</w:t>
            </w:r>
          </w:p>
        </w:tc>
        <w:tc>
          <w:tcPr>
            <w:tcW w:w="2919" w:type="dxa"/>
            <w:shd w:val="clear" w:color="auto" w:fill="auto"/>
            <w:tcMar>
              <w:top w:w="100" w:type="dxa"/>
              <w:left w:w="100" w:type="dxa"/>
              <w:bottom w:w="100" w:type="dxa"/>
              <w:right w:w="100" w:type="dxa"/>
            </w:tcMar>
          </w:tcPr>
          <w:p>
            <w:pPr>
              <w:jc w:val="center"/>
              <w:rPr>
                <w:sz w:val="24"/>
                <w:szCs w:val="24"/>
                <w:lang w:eastAsia="uk-UA"/>
              </w:rPr>
            </w:pPr>
            <w:r>
              <w:rPr>
                <w:rFonts w:hint="default"/>
                <w:sz w:val="24"/>
                <w:szCs w:val="24"/>
                <w:lang w:val="ru-RU" w:eastAsia="uk-UA"/>
              </w:rPr>
              <w:t>3</w:t>
            </w:r>
            <w:r>
              <w:rPr>
                <w:sz w:val="24"/>
                <w:szCs w:val="24"/>
                <w:lang w:val="uk-UA" w:eastAsia="uk-UA"/>
              </w:rPr>
              <w:t>1.1</w:t>
            </w:r>
            <w:r>
              <w:rPr>
                <w:rFonts w:hint="default"/>
                <w:sz w:val="24"/>
                <w:szCs w:val="24"/>
                <w:lang w:val="ru-RU" w:eastAsia="uk-UA"/>
              </w:rPr>
              <w:t>2</w:t>
            </w:r>
            <w:r>
              <w:rPr>
                <w:sz w:val="24"/>
                <w:szCs w:val="24"/>
                <w:lang w:val="uk-UA" w:eastAsia="uk-UA"/>
              </w:rPr>
              <w:t>.24</w:t>
            </w:r>
          </w:p>
        </w:tc>
      </w:tr>
    </w:tbl>
    <w:p>
      <w:pPr>
        <w:widowControl/>
        <w:spacing w:before="240" w:after="240"/>
        <w:ind w:firstLine="720"/>
        <w:jc w:val="both"/>
        <w:rPr>
          <w:b/>
          <w:sz w:val="24"/>
          <w:szCs w:val="24"/>
        </w:rPr>
      </w:pPr>
      <w:bookmarkStart w:id="1" w:name="_heading=h.spxyj4gwpca8" w:colFirst="0" w:colLast="0"/>
      <w:bookmarkEnd w:id="1"/>
    </w:p>
    <w:p>
      <w:pPr>
        <w:widowControl/>
        <w:spacing w:before="240" w:after="240"/>
        <w:ind w:firstLine="720"/>
        <w:jc w:val="both"/>
        <w:rPr>
          <w:b/>
          <w:color w:val="000000"/>
          <w:sz w:val="24"/>
          <w:szCs w:val="24"/>
        </w:rPr>
      </w:pPr>
      <w:r>
        <w:rPr>
          <w:b/>
          <w:sz w:val="24"/>
          <w:szCs w:val="24"/>
        </w:rPr>
        <w:t>За позиціями, за якими медико-технічні вимоги (довжина, ширина, діаметр, типорозмір, тощо) зазначені Замовником як діапазон або вибір, Учасник має забезпечити наявність декількох розмірів для вибору Замовником. Постачальник надає Замовнику (у складі тендерної пропозиції) каталог продукції, що є предметом закупівлі, для здійснення Замовником відбору переліку необхідних розмірів товару в межах загальної кількості. Постачальник забезпечує поставку продукції, що відповідає критеріям та діапазонам (довжина, ширина, діаметр, типорозмір, тощо), встановленим у Специфікації до договору, відповідно до асортименту продукції, що виробляється та/або постачається Постачальником.</w:t>
      </w:r>
    </w:p>
    <w:p>
      <w:pPr>
        <w:widowControl/>
        <w:spacing w:before="240" w:after="240"/>
        <w:ind w:firstLine="720"/>
        <w:jc w:val="both"/>
        <w:rPr>
          <w:b/>
          <w:color w:val="000000"/>
          <w:sz w:val="24"/>
          <w:szCs w:val="24"/>
        </w:rPr>
      </w:pPr>
    </w:p>
    <w:p>
      <w:pPr>
        <w:widowControl/>
        <w:spacing w:before="240" w:after="240"/>
        <w:ind w:firstLine="720"/>
        <w:jc w:val="both"/>
        <w:rPr>
          <w:b/>
          <w:color w:val="000000"/>
          <w:sz w:val="24"/>
          <w:szCs w:val="24"/>
        </w:rPr>
      </w:pPr>
    </w:p>
    <w:p>
      <w:pPr>
        <w:widowControl/>
        <w:spacing w:before="240" w:after="240"/>
        <w:ind w:firstLine="720"/>
        <w:jc w:val="both"/>
        <w:rPr>
          <w:b/>
          <w:color w:val="000000"/>
          <w:sz w:val="24"/>
          <w:szCs w:val="24"/>
        </w:rPr>
      </w:pPr>
      <w:r>
        <w:rPr>
          <w:b/>
          <w:color w:val="000000"/>
          <w:sz w:val="24"/>
          <w:szCs w:val="24"/>
        </w:rPr>
        <w:t>Учасник закупівлі заповнює поля Таблиці 2 інформацією стосовно запропонованого Товару (відповідно до вимог до предмета закупівлі):</w:t>
      </w:r>
    </w:p>
    <w:p>
      <w:pPr>
        <w:widowControl/>
        <w:spacing w:before="240" w:after="240"/>
        <w:jc w:val="right"/>
        <w:rPr>
          <w:b/>
          <w:color w:val="000000"/>
          <w:sz w:val="24"/>
          <w:szCs w:val="24"/>
        </w:rPr>
      </w:pPr>
      <w:r>
        <w:rPr>
          <w:b/>
          <w:color w:val="000000"/>
          <w:sz w:val="24"/>
          <w:szCs w:val="24"/>
        </w:rPr>
        <w:t>Таблиця 2</w:t>
      </w:r>
    </w:p>
    <w:tbl>
      <w:tblPr>
        <w:tblStyle w:val="9"/>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5"/>
        <w:gridCol w:w="3450"/>
        <w:gridCol w:w="3090"/>
        <w:gridCol w:w="1305"/>
        <w:gridCol w:w="1560"/>
        <w:gridCol w:w="1695"/>
        <w:gridCol w:w="1845"/>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555" w:type="dxa"/>
            <w:vMerge w:val="restart"/>
            <w:vAlign w:val="center"/>
          </w:tcPr>
          <w:p>
            <w:pPr>
              <w:jc w:val="center"/>
              <w:rPr>
                <w:color w:val="222222"/>
              </w:rPr>
            </w:pPr>
            <w:r>
              <w:rPr>
                <w:b/>
                <w:color w:val="222222"/>
              </w:rPr>
              <w:t>№</w:t>
            </w:r>
          </w:p>
        </w:tc>
        <w:tc>
          <w:tcPr>
            <w:tcW w:w="3450" w:type="dxa"/>
            <w:vMerge w:val="restart"/>
            <w:vAlign w:val="center"/>
          </w:tcPr>
          <w:p>
            <w:pPr>
              <w:jc w:val="center"/>
              <w:rPr>
                <w:color w:val="222222"/>
              </w:rPr>
            </w:pPr>
            <w:r>
              <w:rPr>
                <w:b/>
                <w:color w:val="222222"/>
              </w:rPr>
              <w:t>Торгова назва (найменування)</w:t>
            </w:r>
          </w:p>
        </w:tc>
        <w:tc>
          <w:tcPr>
            <w:tcW w:w="4395" w:type="dxa"/>
            <w:gridSpan w:val="2"/>
            <w:vAlign w:val="center"/>
          </w:tcPr>
          <w:p>
            <w:pPr>
              <w:jc w:val="center"/>
              <w:rPr>
                <w:b/>
                <w:color w:val="222222"/>
              </w:rPr>
            </w:pPr>
            <w:r>
              <w:rPr>
                <w:b/>
                <w:color w:val="222222"/>
              </w:rPr>
              <w:t>Комплектація одного набору (комплекту)</w:t>
            </w:r>
          </w:p>
        </w:tc>
        <w:tc>
          <w:tcPr>
            <w:tcW w:w="1560" w:type="dxa"/>
            <w:vMerge w:val="restart"/>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b/>
              </w:rPr>
            </w:pPr>
            <w:r>
              <w:rPr>
                <w:b/>
              </w:rPr>
              <w:t>Кількість комплектів</w:t>
            </w:r>
          </w:p>
        </w:tc>
        <w:tc>
          <w:tcPr>
            <w:tcW w:w="1695" w:type="dxa"/>
            <w:vMerge w:val="restart"/>
          </w:tcPr>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r>
              <w:rPr>
                <w:b/>
              </w:rPr>
              <w:t xml:space="preserve">Виробник та країна виробництва </w:t>
            </w:r>
          </w:p>
        </w:tc>
        <w:tc>
          <w:tcPr>
            <w:tcW w:w="1845" w:type="dxa"/>
            <w:vMerge w:val="restart"/>
            <w:vAlign w:val="center"/>
          </w:tcPr>
          <w:p>
            <w:pPr>
              <w:widowControl/>
              <w:jc w:val="center"/>
              <w:rPr>
                <w:b/>
              </w:rPr>
            </w:pPr>
            <w:r>
              <w:rPr>
                <w:b/>
              </w:rPr>
              <w:t>Номер і термін дії декларації відповідності</w:t>
            </w:r>
          </w:p>
          <w:p>
            <w:pPr>
              <w:jc w:val="center"/>
              <w:rPr>
                <w:color w:val="222222"/>
              </w:rPr>
            </w:pPr>
            <w:r>
              <w:rPr>
                <w:b/>
              </w:rPr>
              <w:t>та номер і термін дії сертифіката відповідності (за наявності)</w:t>
            </w:r>
          </w:p>
        </w:tc>
        <w:tc>
          <w:tcPr>
            <w:tcW w:w="1980" w:type="dxa"/>
            <w:vMerge w:val="restart"/>
          </w:tcPr>
          <w:p>
            <w:pPr>
              <w:jc w:val="center"/>
              <w:rPr>
                <w:b/>
                <w:color w:val="222222"/>
              </w:rPr>
            </w:pPr>
            <w:r>
              <w:rPr>
                <w:b/>
              </w:rPr>
              <w:t>Зазначити номер за порядком та/або сторінку та/або артикул медичного виробу в декларації відповідності та сертифікаті відповідності (за наявності)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555"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3450"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3090" w:type="dxa"/>
            <w:vAlign w:val="center"/>
          </w:tcPr>
          <w:p>
            <w:pPr>
              <w:jc w:val="center"/>
              <w:rPr>
                <w:b/>
                <w:color w:val="222222"/>
                <w:sz w:val="24"/>
                <w:szCs w:val="24"/>
              </w:rPr>
            </w:pPr>
            <w:r>
              <w:rPr>
                <w:b/>
              </w:rPr>
              <w:t>Торгова назва медичного виробу* відповідно до назви, яка зазначена в декларації відповідності або сертифікаті відповідності (за наявності)</w:t>
            </w:r>
          </w:p>
        </w:tc>
        <w:tc>
          <w:tcPr>
            <w:tcW w:w="1305" w:type="dxa"/>
            <w:vAlign w:val="center"/>
          </w:tcPr>
          <w:p>
            <w:pPr>
              <w:jc w:val="center"/>
              <w:rPr>
                <w:b/>
                <w:color w:val="222222"/>
                <w:sz w:val="24"/>
                <w:szCs w:val="24"/>
              </w:rPr>
            </w:pPr>
            <w:r>
              <w:rPr>
                <w:b/>
              </w:rPr>
              <w:t>Кількість  одиниць</w:t>
            </w:r>
          </w:p>
        </w:tc>
        <w:tc>
          <w:tcPr>
            <w:tcW w:w="1560" w:type="dxa"/>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b/>
              </w:rPr>
            </w:pPr>
          </w:p>
        </w:tc>
        <w:tc>
          <w:tcPr>
            <w:tcW w:w="1695" w:type="dxa"/>
            <w:vMerge w:val="continue"/>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1845"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1980" w:type="dxa"/>
            <w:vMerge w:val="continue"/>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555" w:type="dxa"/>
          </w:tcPr>
          <w:p>
            <w:pPr>
              <w:jc w:val="center"/>
              <w:rPr>
                <w:color w:val="222222"/>
                <w:sz w:val="24"/>
                <w:szCs w:val="24"/>
                <w:highlight w:val="yellow"/>
                <w:lang w:val="uk-UA"/>
              </w:rPr>
            </w:pPr>
            <w:r>
              <w:rPr>
                <w:color w:val="222222"/>
                <w:sz w:val="24"/>
                <w:szCs w:val="24"/>
                <w:lang w:val="uk-UA"/>
              </w:rPr>
              <w:t>1</w:t>
            </w:r>
          </w:p>
        </w:tc>
        <w:tc>
          <w:tcPr>
            <w:tcW w:w="3450" w:type="dxa"/>
            <w:vAlign w:val="bottom"/>
          </w:tcPr>
          <w:p>
            <w:pPr>
              <w:widowControl/>
              <w:pBdr>
                <w:top w:val="none" w:color="auto" w:sz="0" w:space="0"/>
                <w:left w:val="none" w:color="auto" w:sz="0" w:space="0"/>
                <w:bottom w:val="none" w:color="auto" w:sz="0" w:space="0"/>
                <w:right w:val="none" w:color="auto" w:sz="0" w:space="0"/>
                <w:between w:val="none" w:color="auto" w:sz="0" w:space="0"/>
              </w:pBdr>
              <w:rPr>
                <w:b/>
                <w:color w:val="000000"/>
                <w:sz w:val="24"/>
                <w:szCs w:val="24"/>
                <w:highlight w:val="yellow"/>
              </w:rPr>
            </w:pPr>
          </w:p>
        </w:tc>
        <w:tc>
          <w:tcPr>
            <w:tcW w:w="3090" w:type="dxa"/>
          </w:tcPr>
          <w:p>
            <w:pPr>
              <w:jc w:val="center"/>
              <w:rPr>
                <w:color w:val="222222"/>
                <w:sz w:val="24"/>
                <w:szCs w:val="24"/>
              </w:rPr>
            </w:pPr>
          </w:p>
        </w:tc>
        <w:tc>
          <w:tcPr>
            <w:tcW w:w="1305" w:type="dxa"/>
          </w:tcPr>
          <w:p>
            <w:pPr>
              <w:jc w:val="center"/>
              <w:rPr>
                <w:color w:val="222222"/>
                <w:sz w:val="24"/>
                <w:szCs w:val="24"/>
              </w:rPr>
            </w:pPr>
          </w:p>
        </w:tc>
        <w:tc>
          <w:tcPr>
            <w:tcW w:w="1560" w:type="dxa"/>
          </w:tcPr>
          <w:p>
            <w:pPr>
              <w:jc w:val="center"/>
              <w:rPr>
                <w:color w:val="222222"/>
                <w:sz w:val="24"/>
                <w:szCs w:val="24"/>
              </w:rPr>
            </w:pPr>
          </w:p>
        </w:tc>
        <w:tc>
          <w:tcPr>
            <w:tcW w:w="1695" w:type="dxa"/>
          </w:tcPr>
          <w:p>
            <w:pPr>
              <w:jc w:val="center"/>
              <w:rPr>
                <w:color w:val="222222"/>
                <w:sz w:val="24"/>
                <w:szCs w:val="24"/>
              </w:rPr>
            </w:pPr>
          </w:p>
        </w:tc>
        <w:tc>
          <w:tcPr>
            <w:tcW w:w="1845" w:type="dxa"/>
          </w:tcPr>
          <w:p>
            <w:pPr>
              <w:jc w:val="center"/>
              <w:rPr>
                <w:color w:val="222222"/>
                <w:sz w:val="24"/>
                <w:szCs w:val="24"/>
              </w:rPr>
            </w:pPr>
          </w:p>
        </w:tc>
        <w:tc>
          <w:tcPr>
            <w:tcW w:w="1980" w:type="dxa"/>
          </w:tcPr>
          <w:p>
            <w:pPr>
              <w:jc w:val="center"/>
              <w:rPr>
                <w:color w:val="222222"/>
                <w:sz w:val="24"/>
                <w:szCs w:val="24"/>
              </w:rPr>
            </w:pPr>
          </w:p>
        </w:tc>
      </w:tr>
    </w:tbl>
    <w:p>
      <w:pPr>
        <w:widowControl/>
        <w:spacing w:before="240" w:after="240"/>
        <w:ind w:firstLine="720"/>
        <w:jc w:val="both"/>
        <w:rPr>
          <w:i/>
          <w:sz w:val="24"/>
          <w:szCs w:val="24"/>
        </w:rPr>
      </w:pPr>
      <w:r>
        <w:rPr>
          <w:sz w:val="24"/>
          <w:szCs w:val="24"/>
        </w:rPr>
        <w:t xml:space="preserve">* </w:t>
      </w:r>
      <w:r>
        <w:rPr>
          <w:i/>
          <w:sz w:val="24"/>
          <w:szCs w:val="24"/>
        </w:rPr>
        <w:t>У випадку, якщо Учасник вказує за одним найменуванням предмета закупівлі</w:t>
      </w:r>
      <w:r>
        <w:rPr>
          <w:b/>
        </w:rPr>
        <w:t xml:space="preserve"> </w:t>
      </w:r>
      <w:r>
        <w:rPr>
          <w:i/>
          <w:sz w:val="24"/>
          <w:szCs w:val="24"/>
        </w:rPr>
        <w:t xml:space="preserve">(медичного виробу) різних виробників та різні торгові назви, то така пропозиція оформлюється </w:t>
      </w:r>
      <w:r>
        <w:rPr>
          <w:b/>
          <w:i/>
          <w:sz w:val="24"/>
          <w:szCs w:val="24"/>
        </w:rPr>
        <w:t>окремими рядками</w:t>
      </w:r>
      <w:r>
        <w:rPr>
          <w:i/>
          <w:sz w:val="24"/>
          <w:szCs w:val="24"/>
        </w:rPr>
        <w:t xml:space="preserve"> згідно з Таблицею 2.</w:t>
      </w:r>
    </w:p>
    <w:p>
      <w:pPr>
        <w:widowControl/>
        <w:spacing w:before="240" w:after="240"/>
        <w:ind w:firstLine="720"/>
        <w:jc w:val="both"/>
        <w:rPr>
          <w:i/>
          <w:sz w:val="24"/>
          <w:szCs w:val="24"/>
        </w:rPr>
      </w:pPr>
      <w:r>
        <w:rPr>
          <w:i/>
          <w:sz w:val="24"/>
          <w:szCs w:val="24"/>
        </w:rPr>
        <w:t xml:space="preserve">У випадку, якщо для забезпечення відповідності запропонованого товару характеристикам/вимогам/технічній специфікації, встановленим в тендерній документації, до постачання пропонується декілька виробів, комплектуючих, допоміжних виробів, - Учасник повинен </w:t>
      </w:r>
      <w:r>
        <w:rPr>
          <w:b/>
          <w:i/>
          <w:sz w:val="24"/>
          <w:szCs w:val="24"/>
        </w:rPr>
        <w:t xml:space="preserve">зазначити окремими рядками </w:t>
      </w:r>
      <w:r>
        <w:rPr>
          <w:i/>
          <w:sz w:val="24"/>
          <w:szCs w:val="24"/>
        </w:rPr>
        <w:t xml:space="preserve">назву кожної з таких позицій та їх кількість. </w:t>
      </w:r>
    </w:p>
    <w:p>
      <w:pPr>
        <w:widowControl/>
        <w:spacing w:before="240" w:after="240"/>
        <w:ind w:firstLine="720"/>
        <w:jc w:val="both"/>
        <w:rPr>
          <w:b/>
          <w:i/>
          <w:sz w:val="24"/>
          <w:szCs w:val="24"/>
          <w:u w:val="single"/>
        </w:rPr>
      </w:pPr>
      <w:r>
        <w:rPr>
          <w:b/>
          <w:i/>
          <w:sz w:val="24"/>
          <w:szCs w:val="24"/>
          <w:u w:val="single"/>
        </w:rPr>
        <w:t>Назви всіх запропонованих виробів та їх комплектуючих повинні відповідати назві, зазначеній в декларації про відповідність (за наявності), сертифікаті відповідності (за наявності) та товаросупровідних документах, з якими буде постачатися товар (недотримання цієї вимоги не є підставою для відхилення пропозиції учасника).</w:t>
      </w:r>
    </w:p>
    <w:p>
      <w:pPr>
        <w:widowControl/>
        <w:spacing w:before="240" w:after="240"/>
        <w:ind w:firstLine="720"/>
        <w:jc w:val="both"/>
        <w:rPr>
          <w:b/>
          <w:i/>
          <w:sz w:val="24"/>
          <w:szCs w:val="24"/>
          <w:u w:val="single"/>
        </w:rPr>
      </w:pPr>
      <w:r>
        <w:rPr>
          <w:b/>
          <w:i/>
          <w:sz w:val="24"/>
          <w:szCs w:val="24"/>
          <w:u w:val="single"/>
        </w:rPr>
        <w:t xml:space="preserve">До специфікації договору включаються назви запропонованих Учасником товарів, які зазначені в декларації про відповідність та сертифікаті відповідності (за наявності). </w:t>
      </w:r>
    </w:p>
    <w:p>
      <w:pPr>
        <w:widowControl/>
        <w:spacing w:before="240" w:after="240"/>
        <w:ind w:firstLine="720"/>
        <w:jc w:val="both"/>
        <w:rPr>
          <w:i/>
          <w:sz w:val="24"/>
          <w:szCs w:val="24"/>
        </w:rPr>
      </w:pPr>
      <w:r>
        <w:rPr>
          <w:i/>
          <w:sz w:val="24"/>
          <w:szCs w:val="24"/>
        </w:rPr>
        <w:t xml:space="preserve">** Учасник вказує повний перелік виробничих </w:t>
      </w:r>
      <w:r>
        <w:rPr>
          <w:i/>
          <w:color w:val="333333"/>
          <w:sz w:val="24"/>
          <w:szCs w:val="24"/>
        </w:rPr>
        <w:t>дільниць</w:t>
      </w:r>
      <w:r>
        <w:rPr>
          <w:i/>
          <w:sz w:val="24"/>
          <w:szCs w:val="24"/>
        </w:rPr>
        <w:t xml:space="preserve">. </w:t>
      </w:r>
    </w:p>
    <w:p>
      <w:pPr>
        <w:widowControl/>
        <w:spacing w:before="240" w:after="240"/>
        <w:ind w:firstLine="720"/>
        <w:jc w:val="both"/>
        <w:rPr>
          <w:i/>
          <w:sz w:val="24"/>
          <w:szCs w:val="24"/>
        </w:rPr>
      </w:pPr>
      <w:bookmarkStart w:id="2" w:name="_heading=h.ctiemjopf2p7" w:colFirst="0" w:colLast="0"/>
      <w:bookmarkEnd w:id="2"/>
      <w:r>
        <w:rPr>
          <w:i/>
          <w:sz w:val="24"/>
          <w:szCs w:val="24"/>
        </w:rPr>
        <w:t xml:space="preserve">*** Одиниці виміру повинні бути </w:t>
      </w:r>
      <w:r>
        <w:rPr>
          <w:b/>
          <w:i/>
          <w:sz w:val="24"/>
          <w:szCs w:val="24"/>
        </w:rPr>
        <w:t>зазначені відповідно до постанови</w:t>
      </w:r>
      <w:r>
        <w:rPr>
          <w:i/>
          <w:sz w:val="24"/>
          <w:szCs w:val="24"/>
        </w:rPr>
        <w:t xml:space="preserve"> Кабінету Міністрів України від 7.03.2022 р. № 216 «Деякі питання закупівлі лікарських засобів, медичних виробів та допоміжних засобів до них» та зазначені Замовником у Таблиці 1. </w:t>
      </w:r>
    </w:p>
    <w:p>
      <w:pPr>
        <w:ind w:firstLine="720"/>
        <w:jc w:val="both"/>
        <w:rPr>
          <w:i/>
          <w:sz w:val="24"/>
          <w:szCs w:val="24"/>
        </w:rPr>
      </w:pPr>
      <w:r>
        <w:rPr>
          <w:i/>
          <w:sz w:val="24"/>
          <w:szCs w:val="24"/>
        </w:rPr>
        <w:t xml:space="preserve">**** Учасник повинен зазначити </w:t>
      </w:r>
      <w:r>
        <w:rPr>
          <w:b/>
          <w:i/>
          <w:sz w:val="24"/>
          <w:szCs w:val="24"/>
        </w:rPr>
        <w:t>кількість</w:t>
      </w:r>
      <w:r>
        <w:rPr>
          <w:i/>
          <w:sz w:val="24"/>
          <w:szCs w:val="24"/>
        </w:rPr>
        <w:t xml:space="preserve">, що зазначена у Таблиці 1 та тендерній документації, </w:t>
      </w:r>
      <w:r>
        <w:rPr>
          <w:b/>
          <w:i/>
          <w:sz w:val="24"/>
          <w:szCs w:val="24"/>
        </w:rPr>
        <w:t>без будь-якого коригування щодо кратності упаковки</w:t>
      </w:r>
      <w:r>
        <w:rPr>
          <w:i/>
          <w:sz w:val="24"/>
          <w:szCs w:val="24"/>
        </w:rPr>
        <w:t>, тощо (</w:t>
      </w:r>
      <w:r>
        <w:rPr>
          <w:b/>
          <w:i/>
          <w:sz w:val="24"/>
          <w:szCs w:val="24"/>
        </w:rPr>
        <w:t>недотримання</w:t>
      </w:r>
      <w:r>
        <w:rPr>
          <w:i/>
          <w:sz w:val="24"/>
          <w:szCs w:val="24"/>
        </w:rPr>
        <w:t xml:space="preserve"> цієї вимоги, а саме зменшення кількості, </w:t>
      </w:r>
      <w:r>
        <w:rPr>
          <w:b/>
          <w:i/>
          <w:sz w:val="24"/>
          <w:szCs w:val="24"/>
        </w:rPr>
        <w:t>є підставою для відхилення</w:t>
      </w:r>
      <w:r>
        <w:rPr>
          <w:i/>
          <w:sz w:val="24"/>
          <w:szCs w:val="24"/>
        </w:rPr>
        <w:t xml:space="preserve"> пропозиції учасника). У разі необхідності коригування кількості до кратності упаковки сторони мають право зробити це під час або після укладання договору, шляхом підписання додаткової угоди.</w:t>
      </w:r>
    </w:p>
    <w:p>
      <w:pPr>
        <w:jc w:val="both"/>
        <w:rPr>
          <w:i/>
          <w:sz w:val="24"/>
          <w:szCs w:val="24"/>
          <w:highlight w:val="green"/>
        </w:rPr>
      </w:pPr>
      <w:r>
        <w:rPr>
          <w:i/>
          <w:sz w:val="24"/>
          <w:szCs w:val="24"/>
          <w:highlight w:val="green"/>
        </w:rPr>
        <w:t xml:space="preserve"> </w:t>
      </w:r>
    </w:p>
    <w:p>
      <w:pPr>
        <w:widowControl/>
        <w:spacing w:before="240" w:after="240"/>
        <w:ind w:firstLine="720"/>
        <w:jc w:val="both"/>
        <w:rPr>
          <w:i/>
          <w:sz w:val="24"/>
          <w:szCs w:val="24"/>
        </w:rPr>
      </w:pPr>
      <w:r>
        <w:rPr>
          <w:b/>
          <w:sz w:val="24"/>
          <w:szCs w:val="24"/>
        </w:rPr>
        <w:t>Учасник закупівлі заповнює поля Таблиці 3 інформацією стосовно додаткових характеристик/вимог/технічної специфікації запропонованого Товару (відповідно до вимог до предмета закупівлі):</w:t>
      </w:r>
    </w:p>
    <w:p>
      <w:pPr>
        <w:widowControl/>
        <w:spacing w:before="240" w:after="240"/>
        <w:jc w:val="right"/>
        <w:rPr>
          <w:b/>
          <w:sz w:val="24"/>
          <w:szCs w:val="24"/>
        </w:rPr>
      </w:pPr>
      <w:r>
        <w:rPr>
          <w:b/>
          <w:sz w:val="24"/>
          <w:szCs w:val="24"/>
        </w:rPr>
        <w:t>Таблиця 3</w:t>
      </w:r>
    </w:p>
    <w:tbl>
      <w:tblPr>
        <w:tblStyle w:val="45"/>
        <w:tblW w:w="151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9"/>
        <w:gridCol w:w="6521"/>
        <w:gridCol w:w="2976"/>
        <w:gridCol w:w="4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3"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41"/>
              <w:rPr>
                <w:b/>
                <w:sz w:val="24"/>
                <w:szCs w:val="24"/>
              </w:rPr>
            </w:pPr>
            <w:r>
              <w:rPr>
                <w:b/>
                <w:sz w:val="24"/>
                <w:szCs w:val="24"/>
              </w:rPr>
              <w:t>№ з/п</w:t>
            </w:r>
          </w:p>
        </w:tc>
        <w:tc>
          <w:tcPr>
            <w:tcW w:w="6521"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rPr>
            </w:pPr>
            <w:r>
              <w:rPr>
                <w:b/>
                <w:sz w:val="24"/>
                <w:szCs w:val="24"/>
              </w:rPr>
              <w:t>Медико-технічні вимоги</w:t>
            </w:r>
          </w:p>
        </w:tc>
        <w:tc>
          <w:tcPr>
            <w:tcW w:w="2976"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rPr>
            </w:pPr>
            <w:r>
              <w:rPr>
                <w:b/>
                <w:sz w:val="24"/>
                <w:szCs w:val="24"/>
              </w:rPr>
              <w:t>Вимога до відповідності характеристики</w:t>
            </w:r>
          </w:p>
        </w:tc>
        <w:tc>
          <w:tcPr>
            <w:tcW w:w="496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rPr>
            </w:pPr>
            <w:r>
              <w:rPr>
                <w:b/>
                <w:sz w:val="24"/>
                <w:szCs w:val="24"/>
              </w:rPr>
              <w:t xml:space="preserve">Відповідність (так/ні) з обов'язковим зазначенням назви та сторінки технічного документу, що містить підтвердження відповідності </w:t>
            </w:r>
          </w:p>
          <w:p>
            <w:pPr>
              <w:ind w:left="141"/>
              <w:rPr>
                <w:b/>
                <w:sz w:val="24"/>
                <w:szCs w:val="24"/>
              </w:rPr>
            </w:pPr>
          </w:p>
          <w:p>
            <w:pPr>
              <w:ind w:left="141"/>
              <w:rPr>
                <w:b/>
                <w:sz w:val="24"/>
                <w:szCs w:val="24"/>
              </w:rPr>
            </w:pPr>
            <w:r>
              <w:rPr>
                <w:b/>
                <w:i/>
              </w:rPr>
              <w:t xml:space="preserve">(вимоги до документів зазначені в Додатку </w:t>
            </w:r>
            <w:r>
              <w:rPr>
                <w:rFonts w:hint="default"/>
                <w:b/>
                <w:i/>
                <w:lang w:val="uk-UA"/>
              </w:rPr>
              <w:t>1</w:t>
            </w:r>
            <w:bookmarkStart w:id="3" w:name="_GoBack"/>
            <w:bookmarkEnd w:id="3"/>
            <w:r>
              <w:rPr>
                <w:b/>
                <w:i/>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4"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r>
              <w:rPr>
                <w:sz w:val="24"/>
                <w:szCs w:val="24"/>
              </w:rPr>
              <w:t>1</w:t>
            </w: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 xml:space="preserve">  Комплектація </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1. Гвинти - 4 шт.</w:t>
            </w:r>
          </w:p>
          <w:p>
            <w:pPr>
              <w:jc w:val="both"/>
              <w:rPr>
                <w:sz w:val="24"/>
                <w:szCs w:val="24"/>
              </w:rPr>
            </w:pPr>
            <w:r>
              <w:rPr>
                <w:sz w:val="24"/>
                <w:szCs w:val="24"/>
              </w:rPr>
              <w:t>2. Балк транспедикулярна - 1 шт.</w:t>
            </w:r>
          </w:p>
          <w:p>
            <w:pPr>
              <w:jc w:val="both"/>
              <w:rPr>
                <w:sz w:val="24"/>
                <w:szCs w:val="24"/>
              </w:rPr>
            </w:pPr>
            <w:r>
              <w:rPr>
                <w:sz w:val="24"/>
                <w:szCs w:val="24"/>
              </w:rPr>
              <w:t>3. Гайки - 4 шт.</w:t>
            </w:r>
          </w:p>
          <w:p>
            <w:pPr>
              <w:jc w:val="both"/>
              <w:rPr>
                <w:sz w:val="24"/>
                <w:szCs w:val="24"/>
              </w:rPr>
            </w:pPr>
            <w:r>
              <w:rPr>
                <w:sz w:val="24"/>
                <w:szCs w:val="24"/>
              </w:rPr>
              <w:t>4. Поперечн</w:t>
            </w:r>
            <w:r>
              <w:rPr>
                <w:sz w:val="24"/>
                <w:szCs w:val="24"/>
                <w:lang w:val="uk-UA"/>
              </w:rPr>
              <w:t>ий</w:t>
            </w:r>
            <w:r>
              <w:rPr>
                <w:sz w:val="24"/>
                <w:szCs w:val="24"/>
              </w:rPr>
              <w:t xml:space="preserve"> </w:t>
            </w:r>
            <w:r>
              <w:rPr>
                <w:sz w:val="24"/>
                <w:szCs w:val="24"/>
                <w:lang w:val="uk-UA"/>
              </w:rPr>
              <w:t>конектор</w:t>
            </w:r>
            <w:r>
              <w:rPr>
                <w:sz w:val="24"/>
                <w:szCs w:val="24"/>
              </w:rPr>
              <w:t xml:space="preserve"> - 1 шт.</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spacing w:before="240" w:after="240"/>
              <w:ind w:left="141"/>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2"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Матеріал пластини і гвинтів відповідає стандарту ISO 5832-3 (аналог DT6) або ASTM Grade 5 (або еквівалент)</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Відповідність</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spacing w:before="240" w:after="240"/>
              <w:ind w:left="141"/>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Кольорове анодування імплантів (гвинтів)</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Відповідність</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0"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Гайка або заглушка або гвинтова кришка для гвинта має механізм блокування</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Наявність</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 xml:space="preserve">Гвинти з низьким профілем, </w:t>
            </w:r>
            <w:r>
              <w:rPr>
                <w:sz w:val="24"/>
                <w:szCs w:val="24"/>
                <w:lang w:val="uk-UA"/>
              </w:rPr>
              <w:t>з подвійною різьбою</w:t>
            </w:r>
            <w:r>
              <w:rPr>
                <w:sz w:val="24"/>
                <w:szCs w:val="24"/>
              </w:rPr>
              <w:t>, конічний дизайн гвинта.</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Відповідність</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3"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Гвинти з мультиаксіальною (поліаксіальною) голівкою.</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Наявність</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 xml:space="preserve">Діаметр </w:t>
            </w:r>
            <w:r>
              <w:rPr>
                <w:sz w:val="24"/>
                <w:szCs w:val="24"/>
                <w:lang w:val="uk-UA"/>
              </w:rPr>
              <w:t>балка транспедикулярна</w:t>
            </w:r>
            <w:r>
              <w:rPr>
                <w:sz w:val="24"/>
                <w:szCs w:val="24"/>
              </w:rPr>
              <w:t xml:space="preserve"> 5.5 мм</w:t>
            </w:r>
            <w:r>
              <w:rPr>
                <w:sz w:val="24"/>
                <w:szCs w:val="24"/>
                <w:lang w:val="uk-UA"/>
              </w:rPr>
              <w:t xml:space="preserve"> </w:t>
            </w:r>
            <w:r>
              <w:rPr>
                <w:sz w:val="24"/>
                <w:szCs w:val="24"/>
              </w:rPr>
              <w:t>з закінченням у вигляді шестикутника або чотирикутника.</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Наявність</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1"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 xml:space="preserve">Довжина </w:t>
            </w:r>
            <w:r>
              <w:rPr>
                <w:sz w:val="24"/>
                <w:szCs w:val="24"/>
                <w:lang w:val="uk-UA"/>
              </w:rPr>
              <w:t>балка транспедикулярна</w:t>
            </w:r>
            <w:r>
              <w:rPr>
                <w:sz w:val="24"/>
                <w:szCs w:val="24"/>
              </w:rPr>
              <w:t xml:space="preserve"> не менше </w:t>
            </w:r>
            <w:r>
              <w:rPr>
                <w:sz w:val="24"/>
                <w:szCs w:val="24"/>
                <w:lang w:val="uk-UA"/>
              </w:rPr>
              <w:t>400</w:t>
            </w:r>
            <w:r>
              <w:rPr>
                <w:sz w:val="24"/>
                <w:szCs w:val="24"/>
              </w:rPr>
              <w:t xml:space="preserve"> мм (включно).</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Наявність</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lang w:val="uk-UA"/>
              </w:rPr>
            </w:pPr>
            <w:r>
              <w:rPr>
                <w:sz w:val="24"/>
                <w:szCs w:val="24"/>
              </w:rPr>
              <w:t>Кріплення попереч</w:t>
            </w:r>
            <w:r>
              <w:rPr>
                <w:sz w:val="24"/>
                <w:szCs w:val="24"/>
                <w:lang w:val="uk-UA"/>
              </w:rPr>
              <w:t>ного конектора</w:t>
            </w:r>
            <w:r>
              <w:rPr>
                <w:sz w:val="24"/>
                <w:szCs w:val="24"/>
              </w:rPr>
              <w:t xml:space="preserve"> повинно підходити під діаметр ст</w:t>
            </w:r>
            <w:r>
              <w:rPr>
                <w:sz w:val="24"/>
                <w:szCs w:val="24"/>
                <w:lang w:val="uk-UA"/>
              </w:rPr>
              <w:t>рижня</w:t>
            </w:r>
            <w:r>
              <w:rPr>
                <w:sz w:val="24"/>
                <w:szCs w:val="24"/>
              </w:rPr>
              <w:t xml:space="preserve"> (балки).</w:t>
            </w:r>
            <w:r>
              <w:rPr>
                <w:sz w:val="24"/>
                <w:szCs w:val="24"/>
                <w:lang w:val="uk-UA"/>
              </w:rPr>
              <w:t xml:space="preserve"> Та має бути 4 типорозміри.</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Відповідність</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9"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Довжина попереч</w:t>
            </w:r>
            <w:r>
              <w:rPr>
                <w:sz w:val="24"/>
                <w:szCs w:val="24"/>
                <w:lang w:val="uk-UA"/>
              </w:rPr>
              <w:t xml:space="preserve">ного кнектора </w:t>
            </w:r>
            <w:r>
              <w:rPr>
                <w:sz w:val="24"/>
                <w:szCs w:val="24"/>
              </w:rPr>
              <w:t xml:space="preserve"> під </w:t>
            </w:r>
            <w:r>
              <w:rPr>
                <w:sz w:val="24"/>
                <w:szCs w:val="24"/>
                <w:lang w:val="uk-UA"/>
              </w:rPr>
              <w:t>балку транспедикулярну</w:t>
            </w:r>
            <w:r>
              <w:rPr>
                <w:sz w:val="24"/>
                <w:szCs w:val="24"/>
              </w:rPr>
              <w:t xml:space="preserve">: нижня межа діапазону не більше </w:t>
            </w:r>
            <w:r>
              <w:rPr>
                <w:sz w:val="24"/>
                <w:szCs w:val="24"/>
                <w:lang w:val="ru-RU"/>
              </w:rPr>
              <w:t>37</w:t>
            </w:r>
            <w:r>
              <w:rPr>
                <w:sz w:val="24"/>
                <w:szCs w:val="24"/>
              </w:rPr>
              <w:t xml:space="preserve"> мм, верхня межа діапазону не менше </w:t>
            </w:r>
            <w:r>
              <w:rPr>
                <w:sz w:val="24"/>
                <w:szCs w:val="24"/>
                <w:lang w:val="ru-RU"/>
              </w:rPr>
              <w:t>73</w:t>
            </w:r>
            <w:r>
              <w:rPr>
                <w:sz w:val="24"/>
                <w:szCs w:val="24"/>
              </w:rPr>
              <w:t xml:space="preserve"> мм</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Відповідність</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Діаметр гвинтів з мультіаксіальною голівкою: нижня межа діапазону не більше 4,5 мм, верхня межа діапазону не менше 7 мм.</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Відповідність</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4"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Довжина гвинтів: нижня межа діапазону не більше 30 мм, верхня межа діапазону не менше 50 мм.</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Відповідність</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2" w:hRule="atLeast"/>
        </w:trPr>
        <w:tc>
          <w:tcPr>
            <w:tcW w:w="699"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p>
        </w:tc>
        <w:tc>
          <w:tcPr>
            <w:tcW w:w="6521"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Постачальник зобов'язаний забезпечити заклад охорони здоров'я, що є кінцевим набувачем, необхідними інструментами для проведення оперативних втручань на весь період імплантації всіх закуплених транспедикулярних стабілізуючих систем, за попереднім узгодженням із закладом охорони здоров'я, що є кінцевим набувачем</w:t>
            </w:r>
          </w:p>
        </w:tc>
        <w:tc>
          <w:tcPr>
            <w:tcW w:w="2976"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bottom"/>
          </w:tcPr>
          <w:p>
            <w:pPr>
              <w:jc w:val="both"/>
              <w:rPr>
                <w:sz w:val="24"/>
                <w:szCs w:val="24"/>
              </w:rPr>
            </w:pPr>
            <w:r>
              <w:rPr>
                <w:sz w:val="24"/>
                <w:szCs w:val="24"/>
              </w:rPr>
              <w:t xml:space="preserve">Відповідність </w:t>
            </w:r>
            <w:r>
              <w:rPr>
                <w:color w:val="000000"/>
                <w:sz w:val="27"/>
                <w:szCs w:val="27"/>
              </w:rPr>
              <w:t>*</w:t>
            </w:r>
          </w:p>
        </w:tc>
        <w:tc>
          <w:tcPr>
            <w:tcW w:w="4962"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i/>
                <w:iCs/>
                <w:sz w:val="24"/>
                <w:szCs w:val="24"/>
              </w:rPr>
            </w:pPr>
            <w:r>
              <w:rPr>
                <w:i/>
                <w:iCs/>
                <w:sz w:val="24"/>
                <w:szCs w:val="24"/>
              </w:rPr>
              <w:t>На підтвердження надається гарантійний лист</w:t>
            </w:r>
          </w:p>
        </w:tc>
      </w:tr>
    </w:tbl>
    <w:p>
      <w:pPr>
        <w:widowControl/>
        <w:spacing w:before="240" w:after="240"/>
        <w:rPr>
          <w:b/>
          <w:bCs/>
          <w:color w:val="000000"/>
          <w:sz w:val="24"/>
          <w:szCs w:val="24"/>
        </w:rPr>
      </w:pPr>
    </w:p>
    <w:tbl>
      <w:tblPr>
        <w:tblStyle w:val="45"/>
        <w:tblW w:w="151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9"/>
        <w:gridCol w:w="6521"/>
        <w:gridCol w:w="2976"/>
        <w:gridCol w:w="4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0"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41"/>
              <w:rPr>
                <w:b/>
                <w:sz w:val="24"/>
                <w:szCs w:val="24"/>
                <w:lang w:val="uk-UA"/>
              </w:rPr>
            </w:pPr>
            <w:r>
              <w:rPr>
                <w:b/>
                <w:sz w:val="24"/>
                <w:szCs w:val="24"/>
                <w:lang w:val="uk-UA"/>
              </w:rPr>
              <w:t>2</w:t>
            </w:r>
          </w:p>
        </w:tc>
        <w:tc>
          <w:tcPr>
            <w:tcW w:w="6521"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lang w:val="uk-UA"/>
              </w:rPr>
            </w:pPr>
            <w:r>
              <w:rPr>
                <w:b/>
                <w:sz w:val="24"/>
                <w:szCs w:val="24"/>
                <w:lang w:val="uk-UA"/>
              </w:rPr>
              <w:t>Шийний кейдж</w:t>
            </w:r>
          </w:p>
        </w:tc>
        <w:tc>
          <w:tcPr>
            <w:tcW w:w="2976"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rPr>
            </w:pPr>
          </w:p>
        </w:tc>
        <w:tc>
          <w:tcPr>
            <w:tcW w:w="496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7"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41"/>
              <w:rPr>
                <w:b/>
                <w:sz w:val="24"/>
                <w:szCs w:val="24"/>
              </w:rPr>
            </w:pPr>
          </w:p>
        </w:tc>
        <w:tc>
          <w:tcPr>
            <w:tcW w:w="6521"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Cs/>
                <w:sz w:val="24"/>
                <w:szCs w:val="24"/>
                <w:lang w:val="en-US"/>
              </w:rPr>
            </w:pPr>
            <w:r>
              <w:rPr>
                <w:bCs/>
                <w:sz w:val="24"/>
                <w:szCs w:val="24"/>
                <w:lang w:val="uk-UA"/>
              </w:rPr>
              <w:t xml:space="preserve">Матеріал виробництва </w:t>
            </w:r>
            <w:r>
              <w:rPr>
                <w:bCs/>
                <w:sz w:val="24"/>
                <w:szCs w:val="24"/>
                <w:lang w:val="en-US"/>
              </w:rPr>
              <w:t>(PEEK)</w:t>
            </w:r>
          </w:p>
        </w:tc>
        <w:tc>
          <w:tcPr>
            <w:tcW w:w="2976"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rPr>
            </w:pPr>
            <w:r>
              <w:rPr>
                <w:sz w:val="24"/>
                <w:szCs w:val="24"/>
              </w:rPr>
              <w:t>Відповідність</w:t>
            </w:r>
          </w:p>
        </w:tc>
        <w:tc>
          <w:tcPr>
            <w:tcW w:w="496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8"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41"/>
              <w:rPr>
                <w:b/>
                <w:sz w:val="24"/>
                <w:szCs w:val="24"/>
              </w:rPr>
            </w:pPr>
          </w:p>
        </w:tc>
        <w:tc>
          <w:tcPr>
            <w:tcW w:w="6521"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Cs/>
                <w:sz w:val="24"/>
                <w:szCs w:val="24"/>
                <w:lang w:val="uk-UA"/>
              </w:rPr>
            </w:pPr>
            <w:r>
              <w:rPr>
                <w:bCs/>
                <w:sz w:val="24"/>
                <w:szCs w:val="24"/>
                <w:lang w:val="uk-UA"/>
              </w:rPr>
              <w:t xml:space="preserve">Кількість типорозмірів  не менще 5 </w:t>
            </w:r>
          </w:p>
        </w:tc>
        <w:tc>
          <w:tcPr>
            <w:tcW w:w="2976"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rPr>
            </w:pPr>
            <w:r>
              <w:rPr>
                <w:sz w:val="24"/>
                <w:szCs w:val="24"/>
              </w:rPr>
              <w:t>Відповідність</w:t>
            </w:r>
          </w:p>
        </w:tc>
        <w:tc>
          <w:tcPr>
            <w:tcW w:w="496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8"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41"/>
              <w:rPr>
                <w:b/>
                <w:sz w:val="24"/>
                <w:szCs w:val="24"/>
              </w:rPr>
            </w:pPr>
          </w:p>
        </w:tc>
        <w:tc>
          <w:tcPr>
            <w:tcW w:w="6521"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Cs/>
                <w:sz w:val="24"/>
                <w:szCs w:val="24"/>
                <w:lang w:val="uk-UA"/>
              </w:rPr>
            </w:pPr>
            <w:r>
              <w:rPr>
                <w:bCs/>
                <w:sz w:val="24"/>
                <w:szCs w:val="24"/>
                <w:lang w:val="uk-UA"/>
              </w:rPr>
              <w:t xml:space="preserve">Клиновидна форма </w:t>
            </w:r>
          </w:p>
        </w:tc>
        <w:tc>
          <w:tcPr>
            <w:tcW w:w="2976"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lang w:val="uk-UA"/>
              </w:rPr>
            </w:pPr>
            <w:r>
              <w:rPr>
                <w:sz w:val="24"/>
                <w:szCs w:val="24"/>
              </w:rPr>
              <w:t>Відповідність</w:t>
            </w:r>
          </w:p>
        </w:tc>
        <w:tc>
          <w:tcPr>
            <w:tcW w:w="496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8"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41"/>
              <w:rPr>
                <w:b/>
                <w:sz w:val="24"/>
                <w:szCs w:val="24"/>
                <w:lang w:val="uk-UA"/>
              </w:rPr>
            </w:pPr>
            <w:r>
              <w:rPr>
                <w:b/>
                <w:sz w:val="24"/>
                <w:szCs w:val="24"/>
                <w:lang w:val="uk-UA"/>
              </w:rPr>
              <w:t>3</w:t>
            </w:r>
          </w:p>
        </w:tc>
        <w:tc>
          <w:tcPr>
            <w:tcW w:w="6521"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bCs/>
                <w:sz w:val="24"/>
                <w:szCs w:val="24"/>
                <w:lang w:val="uk-UA"/>
              </w:rPr>
            </w:pPr>
            <w:r>
              <w:rPr>
                <w:b/>
                <w:bCs/>
                <w:sz w:val="24"/>
                <w:szCs w:val="24"/>
                <w:lang w:val="uk-UA"/>
              </w:rPr>
              <w:t>Голка для вертебопластики</w:t>
            </w:r>
          </w:p>
        </w:tc>
        <w:tc>
          <w:tcPr>
            <w:tcW w:w="2976"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sz w:val="24"/>
                <w:szCs w:val="24"/>
              </w:rPr>
            </w:pPr>
          </w:p>
        </w:tc>
        <w:tc>
          <w:tcPr>
            <w:tcW w:w="496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ind w:left="141"/>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8" w:hRule="atLeast"/>
        </w:trPr>
        <w:tc>
          <w:tcPr>
            <w:tcW w:w="699"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ind w:left="141"/>
              <w:rPr>
                <w:b/>
                <w:sz w:val="24"/>
                <w:szCs w:val="24"/>
                <w:lang w:val="uk-UA"/>
              </w:rPr>
            </w:pPr>
          </w:p>
        </w:tc>
        <w:tc>
          <w:tcPr>
            <w:tcW w:w="6521" w:type="dxa"/>
            <w:tcBorders>
              <w:top w:val="single" w:color="000000" w:sz="8" w:space="0"/>
              <w:left w:val="nil"/>
              <w:bottom w:val="single" w:color="auto" w:sz="4" w:space="0"/>
              <w:right w:val="single" w:color="000000" w:sz="8" w:space="0"/>
            </w:tcBorders>
            <w:tcMar>
              <w:top w:w="100" w:type="dxa"/>
              <w:left w:w="100" w:type="dxa"/>
              <w:bottom w:w="100" w:type="dxa"/>
              <w:right w:w="100" w:type="dxa"/>
            </w:tcMar>
          </w:tcPr>
          <w:p>
            <w:pPr>
              <w:rPr>
                <w:sz w:val="24"/>
                <w:szCs w:val="24"/>
                <w:lang w:val="uk-UA"/>
              </w:rPr>
            </w:pPr>
            <w:r>
              <w:rPr>
                <w:sz w:val="24"/>
                <w:szCs w:val="24"/>
                <w:lang w:val="uk-UA"/>
              </w:rPr>
              <w:t xml:space="preserve">Голка для вертебопластики повина бути виготовлена з  нержавіючої сталі </w:t>
            </w:r>
          </w:p>
          <w:p>
            <w:pPr>
              <w:rPr>
                <w:sz w:val="24"/>
                <w:szCs w:val="24"/>
                <w:lang w:val="uk-UA"/>
              </w:rPr>
            </w:pPr>
            <w:r>
              <w:rPr>
                <w:sz w:val="24"/>
                <w:szCs w:val="24"/>
                <w:lang w:val="uk-UA"/>
              </w:rPr>
              <w:t>Складатись з двух частин: канюльована голка з пластиковою ручкою і внутрішньою голкою.</w:t>
            </w:r>
          </w:p>
          <w:p>
            <w:pPr>
              <w:rPr>
                <w:sz w:val="24"/>
                <w:szCs w:val="24"/>
                <w:lang w:val="uk-UA"/>
              </w:rPr>
            </w:pPr>
            <w:r>
              <w:rPr>
                <w:sz w:val="24"/>
                <w:szCs w:val="24"/>
                <w:lang w:val="uk-UA"/>
              </w:rPr>
              <w:t>Розміри: зовнішній діаметр 2,4мм/довжина 100мм, зовнішній діаметр 3,0мм/ довжина: 100мм і 150мм</w:t>
            </w:r>
          </w:p>
          <w:p>
            <w:pPr>
              <w:rPr>
                <w:sz w:val="24"/>
                <w:szCs w:val="24"/>
                <w:lang w:val="uk-UA"/>
              </w:rPr>
            </w:pPr>
            <w:r>
              <w:rPr>
                <w:sz w:val="24"/>
                <w:szCs w:val="24"/>
                <w:lang w:val="uk-UA"/>
              </w:rPr>
              <w:t xml:space="preserve">Голка для вертебопластики повина бути стерильна, строк стерильності 3 роки. </w:t>
            </w:r>
          </w:p>
          <w:p>
            <w:pPr>
              <w:ind w:left="141"/>
              <w:rPr>
                <w:b/>
                <w:bCs/>
                <w:sz w:val="24"/>
                <w:szCs w:val="24"/>
                <w:lang w:val="uk-UA"/>
              </w:rPr>
            </w:pPr>
          </w:p>
        </w:tc>
        <w:tc>
          <w:tcPr>
            <w:tcW w:w="2976" w:type="dxa"/>
            <w:tcBorders>
              <w:top w:val="single" w:color="000000" w:sz="8" w:space="0"/>
              <w:left w:val="nil"/>
              <w:bottom w:val="single" w:color="auto" w:sz="4" w:space="0"/>
              <w:right w:val="single" w:color="000000" w:sz="8" w:space="0"/>
            </w:tcBorders>
            <w:tcMar>
              <w:top w:w="100" w:type="dxa"/>
              <w:left w:w="100" w:type="dxa"/>
              <w:bottom w:w="100" w:type="dxa"/>
              <w:right w:w="100" w:type="dxa"/>
            </w:tcMar>
          </w:tcPr>
          <w:p>
            <w:pPr>
              <w:ind w:left="141"/>
              <w:rPr>
                <w:sz w:val="24"/>
                <w:szCs w:val="24"/>
              </w:rPr>
            </w:pPr>
            <w:r>
              <w:rPr>
                <w:sz w:val="24"/>
                <w:szCs w:val="24"/>
              </w:rPr>
              <w:t>Відповідність</w:t>
            </w:r>
          </w:p>
        </w:tc>
        <w:tc>
          <w:tcPr>
            <w:tcW w:w="4962" w:type="dxa"/>
            <w:tcBorders>
              <w:top w:val="single" w:color="000000" w:sz="8" w:space="0"/>
              <w:left w:val="nil"/>
              <w:bottom w:val="single" w:color="auto" w:sz="4" w:space="0"/>
              <w:right w:val="single" w:color="000000" w:sz="8" w:space="0"/>
            </w:tcBorders>
            <w:tcMar>
              <w:top w:w="100" w:type="dxa"/>
              <w:left w:w="100" w:type="dxa"/>
              <w:bottom w:w="100" w:type="dxa"/>
              <w:right w:w="100" w:type="dxa"/>
            </w:tcMar>
          </w:tcPr>
          <w:p>
            <w:pPr>
              <w:ind w:left="141"/>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8" w:hRule="atLeast"/>
        </w:trPr>
        <w:tc>
          <w:tcPr>
            <w:tcW w:w="699" w:type="dxa"/>
            <w:tcBorders>
              <w:top w:val="single" w:color="auto" w:sz="4" w:space="0"/>
              <w:left w:val="single" w:color="auto" w:sz="4" w:space="0"/>
              <w:bottom w:val="single" w:color="auto" w:sz="4" w:space="0"/>
              <w:right w:val="single" w:color="auto" w:sz="4" w:space="0"/>
            </w:tcBorders>
          </w:tcPr>
          <w:p>
            <w:pPr>
              <w:ind w:left="141"/>
              <w:rPr>
                <w:b/>
                <w:sz w:val="24"/>
                <w:szCs w:val="24"/>
                <w:lang w:val="uk-UA"/>
              </w:rPr>
            </w:pPr>
            <w:r>
              <w:rPr>
                <w:b/>
                <w:sz w:val="24"/>
                <w:szCs w:val="24"/>
                <w:lang w:val="uk-UA"/>
              </w:rPr>
              <w:t>4</w:t>
            </w:r>
          </w:p>
        </w:tc>
        <w:tc>
          <w:tcPr>
            <w:tcW w:w="6521" w:type="dxa"/>
            <w:tcBorders>
              <w:top w:val="single" w:color="auto" w:sz="4" w:space="0"/>
              <w:left w:val="single" w:color="auto" w:sz="4" w:space="0"/>
              <w:bottom w:val="single" w:color="auto" w:sz="4" w:space="0"/>
              <w:right w:val="single" w:color="auto" w:sz="4" w:space="0"/>
            </w:tcBorders>
          </w:tcPr>
          <w:p>
            <w:pPr>
              <w:ind w:left="141"/>
              <w:rPr>
                <w:b/>
                <w:bCs/>
                <w:sz w:val="24"/>
                <w:szCs w:val="24"/>
                <w:lang w:val="uk-UA"/>
              </w:rPr>
            </w:pPr>
            <w:r>
              <w:rPr>
                <w:b/>
                <w:bCs/>
                <w:sz w:val="24"/>
                <w:szCs w:val="24"/>
                <w:lang w:val="uk-UA"/>
              </w:rPr>
              <w:t>Цемент  для вертебопластики</w:t>
            </w:r>
          </w:p>
        </w:tc>
        <w:tc>
          <w:tcPr>
            <w:tcW w:w="2976" w:type="dxa"/>
            <w:tcBorders>
              <w:top w:val="single" w:color="auto" w:sz="4" w:space="0"/>
              <w:left w:val="single" w:color="auto" w:sz="4" w:space="0"/>
              <w:bottom w:val="single" w:color="auto" w:sz="4" w:space="0"/>
              <w:right w:val="single" w:color="auto" w:sz="4" w:space="0"/>
            </w:tcBorders>
          </w:tcPr>
          <w:p>
            <w:pPr>
              <w:ind w:left="141"/>
              <w:rPr>
                <w:sz w:val="24"/>
                <w:szCs w:val="24"/>
              </w:rPr>
            </w:pPr>
          </w:p>
        </w:tc>
        <w:tc>
          <w:tcPr>
            <w:tcW w:w="4962" w:type="dxa"/>
            <w:tcBorders>
              <w:top w:val="single" w:color="auto" w:sz="4" w:space="0"/>
              <w:left w:val="single" w:color="auto" w:sz="4" w:space="0"/>
              <w:bottom w:val="single" w:color="auto" w:sz="4" w:space="0"/>
              <w:right w:val="single" w:color="auto" w:sz="4" w:space="0"/>
            </w:tcBorders>
          </w:tcPr>
          <w:p>
            <w:pPr>
              <w:ind w:left="141"/>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8" w:hRule="atLeast"/>
        </w:trPr>
        <w:tc>
          <w:tcPr>
            <w:tcW w:w="699" w:type="dxa"/>
            <w:tcBorders>
              <w:top w:val="single" w:color="auto" w:sz="4" w:space="0"/>
              <w:left w:val="single" w:color="auto" w:sz="4" w:space="0"/>
              <w:bottom w:val="single" w:color="auto" w:sz="4" w:space="0"/>
              <w:right w:val="single" w:color="auto" w:sz="4" w:space="0"/>
            </w:tcBorders>
          </w:tcPr>
          <w:p>
            <w:pPr>
              <w:ind w:left="141"/>
              <w:rPr>
                <w:b/>
                <w:sz w:val="24"/>
                <w:szCs w:val="24"/>
                <w:lang w:val="uk-UA"/>
              </w:rPr>
            </w:pPr>
          </w:p>
        </w:tc>
        <w:tc>
          <w:tcPr>
            <w:tcW w:w="6521" w:type="dxa"/>
            <w:tcBorders>
              <w:top w:val="single" w:color="auto" w:sz="4" w:space="0"/>
              <w:left w:val="single" w:color="auto" w:sz="4" w:space="0"/>
              <w:bottom w:val="single" w:color="auto" w:sz="4" w:space="0"/>
              <w:right w:val="single" w:color="auto" w:sz="4" w:space="0"/>
            </w:tcBorders>
          </w:tcPr>
          <w:p>
            <w:pPr>
              <w:rPr>
                <w:sz w:val="24"/>
                <w:szCs w:val="24"/>
                <w:lang w:val="uk-UA"/>
              </w:rPr>
            </w:pPr>
            <w:r>
              <w:rPr>
                <w:sz w:val="24"/>
                <w:szCs w:val="24"/>
              </w:rPr>
              <w:t>Кістковий цемент</w:t>
            </w:r>
            <w:r>
              <w:rPr>
                <w:sz w:val="24"/>
                <w:szCs w:val="24"/>
                <w:lang w:val="uk-UA"/>
              </w:rPr>
              <w:t xml:space="preserve"> для вертебопластики </w:t>
            </w:r>
            <w:r>
              <w:rPr>
                <w:sz w:val="24"/>
                <w:szCs w:val="24"/>
              </w:rPr>
              <w:t xml:space="preserve">  має складається з рідкого компоненту</w:t>
            </w:r>
            <w:r>
              <w:rPr>
                <w:sz w:val="24"/>
                <w:szCs w:val="24"/>
                <w:lang w:val="uk-UA"/>
              </w:rPr>
              <w:t xml:space="preserve"> 10 мл</w:t>
            </w:r>
          </w:p>
          <w:p>
            <w:pPr>
              <w:rPr>
                <w:sz w:val="24"/>
                <w:szCs w:val="24"/>
              </w:rPr>
            </w:pPr>
            <w:r>
              <w:rPr>
                <w:sz w:val="24"/>
                <w:szCs w:val="24"/>
              </w:rPr>
              <w:t>та стерильного порошку</w:t>
            </w:r>
            <w:r>
              <w:rPr>
                <w:sz w:val="24"/>
                <w:szCs w:val="24"/>
                <w:lang w:val="uk-UA"/>
              </w:rPr>
              <w:t xml:space="preserve"> 25г</w:t>
            </w:r>
            <w:r>
              <w:rPr>
                <w:sz w:val="24"/>
                <w:szCs w:val="24"/>
              </w:rPr>
              <w:t>.</w:t>
            </w:r>
          </w:p>
          <w:p>
            <w:pPr>
              <w:rPr>
                <w:sz w:val="24"/>
                <w:szCs w:val="24"/>
              </w:rPr>
            </w:pPr>
            <w:r>
              <w:rPr>
                <w:sz w:val="24"/>
                <w:szCs w:val="24"/>
              </w:rPr>
              <w:t>Кістковий цемент повинен бути рентгеноконтрастний.</w:t>
            </w:r>
          </w:p>
          <w:p>
            <w:pPr>
              <w:rPr>
                <w:sz w:val="24"/>
                <w:szCs w:val="24"/>
              </w:rPr>
            </w:pPr>
            <w:r>
              <w:rPr>
                <w:sz w:val="24"/>
                <w:szCs w:val="24"/>
              </w:rPr>
              <w:t>Всі компоненти постачають зі строком стерильності не менше 3 років.</w:t>
            </w:r>
          </w:p>
          <w:p>
            <w:pPr>
              <w:rPr>
                <w:b/>
                <w:bCs/>
                <w:sz w:val="24"/>
                <w:szCs w:val="24"/>
                <w:lang w:val="uk-UA"/>
              </w:rPr>
            </w:pPr>
          </w:p>
        </w:tc>
        <w:tc>
          <w:tcPr>
            <w:tcW w:w="2976" w:type="dxa"/>
            <w:tcBorders>
              <w:top w:val="single" w:color="auto" w:sz="4" w:space="0"/>
              <w:left w:val="single" w:color="auto" w:sz="4" w:space="0"/>
              <w:bottom w:val="single" w:color="auto" w:sz="4" w:space="0"/>
              <w:right w:val="single" w:color="auto" w:sz="4" w:space="0"/>
            </w:tcBorders>
          </w:tcPr>
          <w:p>
            <w:pPr>
              <w:ind w:left="141"/>
              <w:rPr>
                <w:sz w:val="24"/>
                <w:szCs w:val="24"/>
              </w:rPr>
            </w:pPr>
            <w:r>
              <w:rPr>
                <w:sz w:val="24"/>
                <w:szCs w:val="24"/>
              </w:rPr>
              <w:t>Відповідність</w:t>
            </w:r>
          </w:p>
        </w:tc>
        <w:tc>
          <w:tcPr>
            <w:tcW w:w="4962" w:type="dxa"/>
            <w:tcBorders>
              <w:top w:val="single" w:color="auto" w:sz="4" w:space="0"/>
              <w:left w:val="single" w:color="auto" w:sz="4" w:space="0"/>
              <w:bottom w:val="single" w:color="auto" w:sz="4" w:space="0"/>
              <w:right w:val="single" w:color="auto" w:sz="4" w:space="0"/>
            </w:tcBorders>
          </w:tcPr>
          <w:p>
            <w:pPr>
              <w:ind w:left="141"/>
              <w:rPr>
                <w:b/>
                <w:sz w:val="24"/>
                <w:szCs w:val="24"/>
              </w:rPr>
            </w:pPr>
          </w:p>
        </w:tc>
      </w:tr>
    </w:tbl>
    <w:p>
      <w:pPr>
        <w:widowControl/>
        <w:spacing w:before="240" w:after="240"/>
        <w:jc w:val="center"/>
        <w:rPr>
          <w:b/>
          <w:bCs/>
          <w:color w:val="000000"/>
          <w:sz w:val="24"/>
          <w:szCs w:val="24"/>
        </w:rPr>
      </w:pPr>
    </w:p>
    <w:p>
      <w:pPr>
        <w:widowControl/>
        <w:spacing w:before="240" w:after="240"/>
        <w:jc w:val="center"/>
        <w:rPr>
          <w:b/>
          <w:bCs/>
          <w:color w:val="000000"/>
          <w:sz w:val="24"/>
          <w:szCs w:val="24"/>
        </w:rPr>
      </w:pPr>
    </w:p>
    <w:p>
      <w:pPr>
        <w:widowControl/>
        <w:spacing w:before="240" w:after="240"/>
        <w:jc w:val="center"/>
        <w:rPr>
          <w:b/>
          <w:bCs/>
          <w:sz w:val="24"/>
          <w:szCs w:val="24"/>
        </w:rPr>
      </w:pPr>
      <w:r>
        <w:rPr>
          <w:b/>
          <w:bCs/>
          <w:color w:val="000000"/>
          <w:sz w:val="24"/>
          <w:szCs w:val="24"/>
        </w:rPr>
        <w:t>Додаткові вимоги</w:t>
      </w:r>
    </w:p>
    <w:p>
      <w:pPr>
        <w:widowControl/>
        <w:spacing w:before="240" w:after="240"/>
        <w:ind w:firstLine="720"/>
        <w:rPr>
          <w:b/>
          <w:color w:val="000000"/>
          <w:sz w:val="24"/>
          <w:szCs w:val="24"/>
        </w:rPr>
      </w:pPr>
      <w:r>
        <w:rPr>
          <w:b/>
          <w:color w:val="000000"/>
          <w:sz w:val="24"/>
          <w:szCs w:val="24"/>
          <w:lang w:val="uk-UA"/>
        </w:rPr>
        <w:t>1.</w:t>
      </w:r>
      <w:r>
        <w:rPr>
          <w:b/>
          <w:color w:val="000000"/>
          <w:sz w:val="24"/>
          <w:szCs w:val="24"/>
        </w:rPr>
        <w:t xml:space="preserve"> Переможець процедури закупівлі зобов’язаний провести інструкційний курс із встановлення систем (за вимогою закладу охорони здоров’я, що є кінцевим набувачем).</w:t>
      </w:r>
    </w:p>
    <w:p>
      <w:pPr>
        <w:widowControl/>
        <w:spacing w:before="240" w:after="240"/>
        <w:ind w:firstLine="720"/>
        <w:jc w:val="both"/>
        <w:rPr>
          <w:bCs/>
          <w:color w:val="000000"/>
          <w:sz w:val="24"/>
          <w:szCs w:val="24"/>
        </w:rPr>
      </w:pPr>
      <w:r>
        <w:rPr>
          <w:b/>
          <w:color w:val="000000"/>
          <w:sz w:val="24"/>
          <w:szCs w:val="24"/>
          <w:lang w:val="uk-UA"/>
        </w:rPr>
        <w:t xml:space="preserve">2. </w:t>
      </w:r>
      <w:r>
        <w:rPr>
          <w:bCs/>
          <w:color w:val="000000"/>
          <w:sz w:val="24"/>
          <w:szCs w:val="24"/>
        </w:rPr>
        <w:t>За позиціями, за якими медико-технічні вимоги (довжина, ширина, діаметр, типорозмір, тощо) зазначені Замовником як діапазон або вибір, Учасник має забезпечити наявність декількох розмірів для вибору Замовником. Постачальник надає Замовнику (у складі тендерної пропозиції) каталог продукції, що є предметом закупівлі, для здійснення Замовником відбору переліку необхідних розмірів товару в межах загальної кількості. Постачальник забезпечує поставку продукції, що відповідає критеріям та діапазонам (довжина, ширина, діаметр, типорозмір, тощо), встановленим у Специфікації до договору, відповідно до асортименту продукції, що виробляється та/або постачається Постачальником.</w:t>
      </w:r>
    </w:p>
    <w:p>
      <w:pPr>
        <w:widowControl/>
        <w:spacing w:before="240" w:after="240"/>
        <w:ind w:firstLine="720"/>
        <w:jc w:val="both"/>
        <w:rPr>
          <w:b/>
          <w:color w:val="000000"/>
          <w:sz w:val="24"/>
          <w:szCs w:val="24"/>
        </w:rPr>
      </w:pPr>
      <w:r>
        <w:rPr>
          <w:b/>
          <w:color w:val="000000"/>
          <w:sz w:val="24"/>
          <w:szCs w:val="24"/>
          <w:lang w:val="uk-UA"/>
        </w:rPr>
        <w:t xml:space="preserve">3. </w:t>
      </w:r>
      <w:r>
        <w:rPr>
          <w:b/>
          <w:color w:val="000000"/>
          <w:sz w:val="24"/>
          <w:szCs w:val="24"/>
        </w:rPr>
        <w:t>Постачальник повинен забезпечити набувачів товарів необхідними типорозмірами систем при зверненні та після поставки товарів у необхідній кількості, у строки, визначені закладом охорони здоров"я, що є кінцевим набувачем</w:t>
      </w:r>
    </w:p>
    <w:p>
      <w:pPr>
        <w:widowControl/>
        <w:spacing w:before="240" w:after="240"/>
        <w:ind w:firstLine="720"/>
        <w:jc w:val="both"/>
        <w:rPr>
          <w:b/>
          <w:color w:val="000000"/>
          <w:sz w:val="24"/>
          <w:szCs w:val="24"/>
        </w:rPr>
      </w:pPr>
      <w:r>
        <w:rPr>
          <w:b/>
          <w:color w:val="000000"/>
          <w:sz w:val="24"/>
          <w:szCs w:val="24"/>
          <w:lang w:val="uk-UA"/>
        </w:rPr>
        <w:t xml:space="preserve">4. </w:t>
      </w:r>
      <w:r>
        <w:rPr>
          <w:b/>
          <w:color w:val="000000"/>
          <w:sz w:val="24"/>
          <w:szCs w:val="24"/>
        </w:rPr>
        <w:t>Постачальник повинен забезпечити заміну типорозмірів систем до повного використання впродовж одного року (не більше) від дати отримання товару закладом охорони здоров’я, що є кінцевим набувачем.</w:t>
      </w:r>
    </w:p>
    <w:p>
      <w:pPr>
        <w:widowControl/>
        <w:spacing w:before="240" w:after="240"/>
        <w:jc w:val="center"/>
        <w:rPr>
          <w:sz w:val="24"/>
          <w:szCs w:val="24"/>
        </w:rPr>
      </w:pPr>
      <w:r>
        <w:rPr>
          <w:b/>
          <w:color w:val="000000"/>
          <w:sz w:val="24"/>
          <w:szCs w:val="24"/>
        </w:rPr>
        <w:t>Обов’язкові вимоги до предмета закупівлі: </w:t>
      </w:r>
    </w:p>
    <w:p>
      <w:pPr>
        <w:widowControl/>
        <w:spacing w:before="240" w:after="240"/>
        <w:ind w:firstLine="720"/>
        <w:jc w:val="both"/>
        <w:rPr>
          <w:b/>
          <w:color w:val="000000"/>
          <w:sz w:val="24"/>
          <w:szCs w:val="24"/>
        </w:rPr>
      </w:pPr>
      <w:r>
        <w:rPr>
          <w:b/>
          <w:color w:val="000000"/>
          <w:sz w:val="24"/>
          <w:szCs w:val="24"/>
        </w:rPr>
        <w:t>Для цілей забезпечення тендерної пропозиції терміни у тендерній документації щодо медичних виробів вживаються у значенні Законів України «Про технічні регламенти та оцінку відповідності», «Про загальну безпечність нехарчової продукції», Постанов Кабінету Міністрів України від 02.10.2013 р. № 753 «Про затвердження Технічного регламенту щодо медичних виробів», від 02.10.2013 р. № 754 «Про затвердження Технічного регламенту щодо медичних виробів для діагностики in vitro», від 02.10.2013 р. №755 «Про затвердження Технічного регламенту щодо активних медичних виробів, які імплантують».</w:t>
      </w:r>
    </w:p>
    <w:p>
      <w:pPr>
        <w:widowControl/>
        <w:spacing w:before="240" w:after="240"/>
        <w:ind w:firstLine="720"/>
        <w:jc w:val="both"/>
        <w:rPr>
          <w:b/>
          <w:sz w:val="24"/>
          <w:szCs w:val="24"/>
          <w:highlight w:val="white"/>
        </w:rPr>
      </w:pPr>
      <w:r>
        <w:rPr>
          <w:b/>
          <w:sz w:val="24"/>
          <w:szCs w:val="24"/>
          <w:highlight w:val="white"/>
        </w:rPr>
        <w:t xml:space="preserve">Первинна упаковка має зберігати якість, безпечність предмета закупівлі, який вона вміщує. Вся упаковка має бути належним чином запечатана та захищена від псування. Всі компоненти упаковки мають відповідати вимогам та стандартам, чинним на території України. </w:t>
      </w:r>
    </w:p>
    <w:p>
      <w:pPr>
        <w:widowControl/>
        <w:spacing w:before="240" w:after="240"/>
        <w:ind w:firstLine="720"/>
        <w:jc w:val="both"/>
        <w:rPr>
          <w:b/>
          <w:sz w:val="24"/>
          <w:szCs w:val="24"/>
          <w:highlight w:val="white"/>
        </w:rPr>
      </w:pPr>
      <w:r>
        <w:rPr>
          <w:b/>
          <w:sz w:val="24"/>
          <w:szCs w:val="24"/>
          <w:highlight w:val="white"/>
        </w:rPr>
        <w:t>Медичні вироби, що постачаються стерильними, повинні бути виготовлені та стерилізовані належним чином із застосуванням валідованого методу.</w:t>
      </w:r>
    </w:p>
    <w:p>
      <w:pPr>
        <w:widowControl/>
        <w:spacing w:before="240" w:after="240"/>
        <w:ind w:firstLine="720"/>
        <w:jc w:val="both"/>
        <w:rPr>
          <w:b/>
          <w:sz w:val="24"/>
          <w:szCs w:val="24"/>
          <w:highlight w:val="white"/>
        </w:rPr>
      </w:pPr>
      <w:r>
        <w:rPr>
          <w:b/>
          <w:sz w:val="24"/>
          <w:szCs w:val="24"/>
          <w:highlight w:val="white"/>
        </w:rPr>
        <w:t>Системи пакування нестерильних медичних виробів повинні забезпечувати їх зберігання без погіршення встановленого рівня чистоти таких виробів, а також мінімізувати ризик їх бактеріального зараження, якщо перед застосуванням медичних виробів передбачена стерилізація. Обрана система пакування повинна бути придатна до застосування з урахуванням визначеного виробником методу стерилізації.</w:t>
      </w:r>
    </w:p>
    <w:p>
      <w:pPr>
        <w:widowControl/>
        <w:spacing w:before="240" w:after="240"/>
        <w:ind w:firstLine="720"/>
        <w:jc w:val="both"/>
        <w:rPr>
          <w:b/>
          <w:sz w:val="24"/>
          <w:szCs w:val="24"/>
          <w:highlight w:val="white"/>
        </w:rPr>
      </w:pPr>
      <w:r>
        <w:rPr>
          <w:b/>
          <w:sz w:val="24"/>
          <w:szCs w:val="24"/>
          <w:highlight w:val="white"/>
        </w:rPr>
        <w:t>Пакування та/або маркування повинні надавати можливість розрізняти ідентичні або подібні медичні вироби, що постачаються як стерильними, так і нестерильними.</w:t>
      </w:r>
    </w:p>
    <w:p>
      <w:pPr>
        <w:pBdr>
          <w:bottom w:val="single" w:color="000000" w:sz="12" w:space="0"/>
        </w:pBdr>
        <w:shd w:val="clear" w:color="auto" w:fill="FFFFFF"/>
        <w:ind w:right="1"/>
        <w:rPr>
          <w:b/>
          <w:color w:val="000000"/>
        </w:rPr>
      </w:pPr>
    </w:p>
    <w:p>
      <w:pPr>
        <w:shd w:val="clear" w:color="auto" w:fill="FFFFFF"/>
        <w:ind w:right="1"/>
        <w:jc w:val="center"/>
        <w:rPr>
          <w:b/>
          <w:color w:val="000000"/>
          <w:vertAlign w:val="superscript"/>
        </w:rPr>
      </w:pPr>
      <w:r>
        <w:rPr>
          <w:b/>
          <w:color w:val="000000"/>
        </w:rPr>
        <w:t>Посада, прізвище, ініціали, підпис керівника чи уповноваженої особи учасника</w:t>
      </w:r>
      <w:r>
        <w:rPr>
          <w:b/>
          <w:color w:val="000000"/>
          <w:vertAlign w:val="superscript"/>
        </w:rPr>
        <w:t>*</w:t>
      </w:r>
    </w:p>
    <w:p>
      <w:pPr>
        <w:pBdr>
          <w:top w:val="none" w:color="auto" w:sz="0" w:space="0"/>
          <w:left w:val="none" w:color="auto" w:sz="0" w:space="0"/>
          <w:bottom w:val="none" w:color="auto" w:sz="0" w:space="0"/>
          <w:right w:val="none" w:color="auto" w:sz="0" w:space="0"/>
          <w:between w:val="none" w:color="auto" w:sz="0" w:space="0"/>
        </w:pBdr>
        <w:shd w:val="clear" w:color="auto" w:fill="FFFFFF"/>
        <w:ind w:left="720" w:right="1" w:hanging="567"/>
        <w:jc w:val="both"/>
        <w:rPr>
          <w:b/>
          <w:color w:val="000000"/>
          <w:sz w:val="20"/>
          <w:szCs w:val="20"/>
        </w:rPr>
      </w:pPr>
    </w:p>
    <w:p>
      <w:pPr>
        <w:pBdr>
          <w:top w:val="none" w:color="auto" w:sz="0" w:space="0"/>
          <w:left w:val="none" w:color="auto" w:sz="0" w:space="0"/>
          <w:bottom w:val="none" w:color="auto" w:sz="0" w:space="0"/>
          <w:right w:val="none" w:color="auto" w:sz="0" w:space="0"/>
          <w:between w:val="none" w:color="auto" w:sz="0" w:space="0"/>
        </w:pBdr>
        <w:shd w:val="clear" w:color="auto" w:fill="FFFFFF"/>
        <w:ind w:left="720" w:right="1" w:hanging="567"/>
        <w:jc w:val="both"/>
        <w:rPr>
          <w:b/>
          <w:color w:val="000000"/>
          <w:sz w:val="20"/>
          <w:szCs w:val="20"/>
        </w:rPr>
      </w:pPr>
    </w:p>
    <w:p>
      <w:pPr>
        <w:shd w:val="clear" w:color="auto" w:fill="FFFFFF"/>
        <w:ind w:right="1"/>
        <w:jc w:val="both"/>
        <w:rPr>
          <w:b/>
          <w:sz w:val="24"/>
          <w:szCs w:val="24"/>
        </w:rPr>
      </w:pPr>
      <w:r>
        <w:rPr>
          <w:b/>
          <w:color w:val="000000"/>
          <w:vertAlign w:val="superscript"/>
        </w:rPr>
        <w:t>*</w:t>
      </w:r>
      <w:r>
        <w:rPr>
          <w:i/>
          <w:color w:val="000000"/>
          <w:sz w:val="20"/>
          <w:szCs w:val="20"/>
        </w:rPr>
        <w:t>Учасник має право поставити на документі відбиток печатки, у випадку її використання учасником.</w:t>
      </w:r>
    </w:p>
    <w:sectPr>
      <w:footerReference r:id="rId3" w:type="default"/>
      <w:pgSz w:w="16838" w:h="11906" w:orient="landscape"/>
      <w:pgMar w:top="851" w:right="850" w:bottom="850" w:left="850"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7</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6"/>
    <w:rsid w:val="00025AE5"/>
    <w:rsid w:val="00072025"/>
    <w:rsid w:val="00096B2A"/>
    <w:rsid w:val="00096FF3"/>
    <w:rsid w:val="00122A9B"/>
    <w:rsid w:val="001B29B9"/>
    <w:rsid w:val="001E4E48"/>
    <w:rsid w:val="0020524C"/>
    <w:rsid w:val="00251919"/>
    <w:rsid w:val="002A0B49"/>
    <w:rsid w:val="002C1A41"/>
    <w:rsid w:val="00331697"/>
    <w:rsid w:val="00454F0B"/>
    <w:rsid w:val="00456C03"/>
    <w:rsid w:val="004E1563"/>
    <w:rsid w:val="005841B6"/>
    <w:rsid w:val="005A4301"/>
    <w:rsid w:val="005D0669"/>
    <w:rsid w:val="00676E2D"/>
    <w:rsid w:val="00680F49"/>
    <w:rsid w:val="007678F4"/>
    <w:rsid w:val="00821324"/>
    <w:rsid w:val="0085040F"/>
    <w:rsid w:val="00881914"/>
    <w:rsid w:val="0089261B"/>
    <w:rsid w:val="008B1665"/>
    <w:rsid w:val="008C03F6"/>
    <w:rsid w:val="008D45BF"/>
    <w:rsid w:val="008E6E7F"/>
    <w:rsid w:val="008F0C83"/>
    <w:rsid w:val="00BD2C16"/>
    <w:rsid w:val="00BD6264"/>
    <w:rsid w:val="00C06044"/>
    <w:rsid w:val="00C179EF"/>
    <w:rsid w:val="00C30CDC"/>
    <w:rsid w:val="00C46A72"/>
    <w:rsid w:val="00C6735D"/>
    <w:rsid w:val="00D20221"/>
    <w:rsid w:val="00D67728"/>
    <w:rsid w:val="00DC43C3"/>
    <w:rsid w:val="00DD27F1"/>
    <w:rsid w:val="00DF058A"/>
    <w:rsid w:val="00E11BCA"/>
    <w:rsid w:val="00E44676"/>
    <w:rsid w:val="00EB08F2"/>
    <w:rsid w:val="00EB7151"/>
    <w:rsid w:val="00EE36A0"/>
    <w:rsid w:val="00F06909"/>
    <w:rsid w:val="00F17C22"/>
    <w:rsid w:val="00F50F16"/>
    <w:rsid w:val="00F86A2D"/>
    <w:rsid w:val="00FF1483"/>
    <w:rsid w:val="1B901D3B"/>
    <w:rsid w:val="4B5E5485"/>
    <w:rsid w:val="779F138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uk" w:eastAsia="uk" w:bidi="ar-SA"/>
    </w:rPr>
  </w:style>
  <w:style w:type="paragraph" w:styleId="2">
    <w:name w:val="heading 1"/>
    <w:basedOn w:val="1"/>
    <w:link w:val="28"/>
    <w:qFormat/>
    <w:uiPriority w:val="9"/>
    <w:pPr>
      <w:ind w:left="118"/>
      <w:outlineLvl w:val="0"/>
    </w:pPr>
    <w:rPr>
      <w:b/>
      <w:bCs/>
      <w:sz w:val="24"/>
      <w:szCs w:val="24"/>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4"/>
    <w:semiHidden/>
    <w:unhideWhenUsed/>
    <w:qFormat/>
    <w:uiPriority w:val="99"/>
    <w:rPr>
      <w:rFonts w:ascii="Segoe UI" w:hAnsi="Segoe UI" w:cs="Segoe UI"/>
      <w:sz w:val="18"/>
      <w:szCs w:val="18"/>
    </w:rPr>
  </w:style>
  <w:style w:type="character" w:styleId="11">
    <w:name w:val="annotation reference"/>
    <w:basedOn w:val="8"/>
    <w:semiHidden/>
    <w:unhideWhenUsed/>
    <w:uiPriority w:val="99"/>
    <w:rPr>
      <w:sz w:val="16"/>
      <w:szCs w:val="16"/>
    </w:rPr>
  </w:style>
  <w:style w:type="paragraph" w:styleId="12">
    <w:name w:val="annotation text"/>
    <w:basedOn w:val="1"/>
    <w:link w:val="61"/>
    <w:semiHidden/>
    <w:unhideWhenUsed/>
    <w:qFormat/>
    <w:uiPriority w:val="99"/>
    <w:rPr>
      <w:sz w:val="20"/>
      <w:szCs w:val="20"/>
    </w:rPr>
  </w:style>
  <w:style w:type="paragraph" w:styleId="13">
    <w:name w:val="footer"/>
    <w:basedOn w:val="1"/>
    <w:link w:val="36"/>
    <w:unhideWhenUsed/>
    <w:uiPriority w:val="99"/>
    <w:pPr>
      <w:tabs>
        <w:tab w:val="center" w:pos="4819"/>
        <w:tab w:val="right" w:pos="9639"/>
      </w:tabs>
    </w:pPr>
  </w:style>
  <w:style w:type="paragraph" w:styleId="14">
    <w:name w:val="header"/>
    <w:basedOn w:val="1"/>
    <w:link w:val="35"/>
    <w:unhideWhenUsed/>
    <w:uiPriority w:val="99"/>
    <w:pPr>
      <w:tabs>
        <w:tab w:val="center" w:pos="4819"/>
        <w:tab w:val="right" w:pos="9639"/>
      </w:tabs>
    </w:pPr>
  </w:style>
  <w:style w:type="paragraph" w:styleId="15">
    <w:name w:val="Normal (Web)"/>
    <w:basedOn w:val="1"/>
    <w:semiHidden/>
    <w:unhideWhenUsed/>
    <w:qFormat/>
    <w:uiPriority w:val="99"/>
    <w:pPr>
      <w:widowControl/>
      <w:autoSpaceDE/>
      <w:autoSpaceDN/>
      <w:spacing w:before="100" w:beforeAutospacing="1" w:after="100" w:afterAutospacing="1"/>
    </w:pPr>
    <w:rPr>
      <w:sz w:val="24"/>
      <w:szCs w:val="24"/>
      <w:lang w:val="uk-UA" w:eastAsia="uk-UA"/>
    </w:rPr>
  </w:style>
  <w:style w:type="paragraph" w:styleId="16">
    <w:name w:val="Subtitle"/>
    <w:basedOn w:val="1"/>
    <w:next w:val="1"/>
    <w:qFormat/>
    <w:uiPriority w:val="11"/>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styleId="17">
    <w:name w:val="Title"/>
    <w:basedOn w:val="1"/>
    <w:next w:val="1"/>
    <w:qFormat/>
    <w:uiPriority w:val="10"/>
    <w:pPr>
      <w:keepNext/>
      <w:keepLines/>
      <w:spacing w:before="480" w:after="120"/>
    </w:pPr>
    <w:rPr>
      <w:b/>
      <w:sz w:val="72"/>
      <w:szCs w:val="72"/>
    </w:rPr>
  </w:style>
  <w:style w:type="table" w:customStyle="1" w:styleId="18">
    <w:name w:val="Table Normal1"/>
    <w:uiPriority w:val="0"/>
    <w:tblPr>
      <w:tblCellMar>
        <w:top w:w="0" w:type="dxa"/>
        <w:left w:w="0" w:type="dxa"/>
        <w:bottom w:w="0" w:type="dxa"/>
        <w:right w:w="0" w:type="dxa"/>
      </w:tblCellMar>
    </w:tblPr>
  </w:style>
  <w:style w:type="table" w:customStyle="1" w:styleId="19">
    <w:name w:val="Table Normal2"/>
    <w:uiPriority w:val="0"/>
    <w:tblPr>
      <w:tblCellMar>
        <w:top w:w="0" w:type="dxa"/>
        <w:left w:w="0" w:type="dxa"/>
        <w:bottom w:w="0" w:type="dxa"/>
        <w:right w:w="0" w:type="dxa"/>
      </w:tblCellMar>
    </w:tblPr>
  </w:style>
  <w:style w:type="table" w:customStyle="1" w:styleId="20">
    <w:name w:val="Table Normal3"/>
    <w:qFormat/>
    <w:uiPriority w:val="0"/>
    <w:tblPr>
      <w:tblCellMar>
        <w:top w:w="0" w:type="dxa"/>
        <w:left w:w="0" w:type="dxa"/>
        <w:bottom w:w="0" w:type="dxa"/>
        <w:right w:w="0" w:type="dxa"/>
      </w:tblCellMar>
    </w:tblPr>
  </w:style>
  <w:style w:type="table" w:customStyle="1" w:styleId="21">
    <w:name w:val="Table Normal4"/>
    <w:uiPriority w:val="0"/>
    <w:tblPr>
      <w:tblCellMar>
        <w:top w:w="0" w:type="dxa"/>
        <w:left w:w="0" w:type="dxa"/>
        <w:bottom w:w="0" w:type="dxa"/>
        <w:right w:w="0" w:type="dxa"/>
      </w:tblCellMar>
    </w:tblPr>
  </w:style>
  <w:style w:type="table" w:customStyle="1" w:styleId="22">
    <w:name w:val="Table Normal5"/>
    <w:uiPriority w:val="0"/>
    <w:tblPr>
      <w:tblCellMar>
        <w:top w:w="0" w:type="dxa"/>
        <w:left w:w="0" w:type="dxa"/>
        <w:bottom w:w="0" w:type="dxa"/>
        <w:right w:w="0" w:type="dxa"/>
      </w:tblCellMar>
    </w:tblPr>
  </w:style>
  <w:style w:type="table" w:customStyle="1" w:styleId="23">
    <w:name w:val="Table Normal6"/>
    <w:uiPriority w:val="0"/>
    <w:tblPr>
      <w:tblCellMar>
        <w:top w:w="0" w:type="dxa"/>
        <w:left w:w="0" w:type="dxa"/>
        <w:bottom w:w="0" w:type="dxa"/>
        <w:right w:w="0" w:type="dxa"/>
      </w:tblCellMar>
    </w:tblPr>
  </w:style>
  <w:style w:type="table" w:customStyle="1" w:styleId="24">
    <w:name w:val="Table Normal7"/>
    <w:qFormat/>
    <w:uiPriority w:val="0"/>
    <w:tblPr>
      <w:tblCellMar>
        <w:top w:w="0" w:type="dxa"/>
        <w:left w:w="0" w:type="dxa"/>
        <w:bottom w:w="0" w:type="dxa"/>
        <w:right w:w="0" w:type="dxa"/>
      </w:tblCellMar>
    </w:tblPr>
  </w:style>
  <w:style w:type="table" w:customStyle="1" w:styleId="25">
    <w:name w:val="Table Normal8"/>
    <w:uiPriority w:val="0"/>
    <w:tblPr>
      <w:tblCellMar>
        <w:top w:w="0" w:type="dxa"/>
        <w:left w:w="0" w:type="dxa"/>
        <w:bottom w:w="0" w:type="dxa"/>
        <w:right w:w="0" w:type="dxa"/>
      </w:tblCellMar>
    </w:tblPr>
  </w:style>
  <w:style w:type="table" w:customStyle="1" w:styleId="26">
    <w:name w:val="Table Normal9"/>
    <w:uiPriority w:val="0"/>
    <w:tblPr>
      <w:tblCellMar>
        <w:top w:w="0" w:type="dxa"/>
        <w:left w:w="0" w:type="dxa"/>
        <w:bottom w:w="0" w:type="dxa"/>
        <w:right w:w="0" w:type="dxa"/>
      </w:tblCellMar>
    </w:tblPr>
  </w:style>
  <w:style w:type="table" w:customStyle="1" w:styleId="27">
    <w:name w:val="Table Normal10"/>
    <w:uiPriority w:val="0"/>
    <w:tblPr>
      <w:tblCellMar>
        <w:top w:w="0" w:type="dxa"/>
        <w:left w:w="0" w:type="dxa"/>
        <w:bottom w:w="0" w:type="dxa"/>
        <w:right w:w="0" w:type="dxa"/>
      </w:tblCellMar>
    </w:tblPr>
  </w:style>
  <w:style w:type="character" w:customStyle="1" w:styleId="28">
    <w:name w:val="Заголовок 1 Знак"/>
    <w:basedOn w:val="8"/>
    <w:link w:val="2"/>
    <w:uiPriority w:val="9"/>
    <w:rPr>
      <w:rFonts w:ascii="Times New Roman" w:hAnsi="Times New Roman" w:eastAsia="Times New Roman" w:cs="Times New Roman"/>
      <w:b/>
      <w:bCs/>
      <w:sz w:val="24"/>
      <w:szCs w:val="24"/>
      <w:lang w:val="uk" w:eastAsia="uk"/>
    </w:rPr>
  </w:style>
  <w:style w:type="paragraph" w:styleId="29">
    <w:name w:val="List Paragraph"/>
    <w:basedOn w:val="1"/>
    <w:link w:val="31"/>
    <w:qFormat/>
    <w:uiPriority w:val="34"/>
    <w:pPr>
      <w:ind w:left="685" w:hanging="567"/>
      <w:jc w:val="both"/>
    </w:pPr>
  </w:style>
  <w:style w:type="character" w:customStyle="1" w:styleId="30">
    <w:name w:val="apple-tab-span"/>
    <w:basedOn w:val="8"/>
    <w:qFormat/>
    <w:uiPriority w:val="0"/>
  </w:style>
  <w:style w:type="character" w:customStyle="1" w:styleId="31">
    <w:name w:val="Абзац списка Знак"/>
    <w:link w:val="29"/>
    <w:locked/>
    <w:uiPriority w:val="34"/>
    <w:rPr>
      <w:rFonts w:ascii="Times New Roman" w:hAnsi="Times New Roman" w:eastAsia="Times New Roman" w:cs="Times New Roman"/>
      <w:lang w:val="uk" w:eastAsia="uk"/>
    </w:rPr>
  </w:style>
  <w:style w:type="table" w:customStyle="1" w:styleId="32">
    <w:name w:val="_Style 26"/>
    <w:basedOn w:val="27"/>
    <w:uiPriority w:val="0"/>
    <w:tblPr>
      <w:tblCellMar>
        <w:top w:w="15" w:type="dxa"/>
        <w:left w:w="15" w:type="dxa"/>
        <w:bottom w:w="15" w:type="dxa"/>
        <w:right w:w="15" w:type="dxa"/>
      </w:tblCellMar>
    </w:tblPr>
  </w:style>
  <w:style w:type="table" w:customStyle="1" w:styleId="33">
    <w:name w:val="_Style 27"/>
    <w:basedOn w:val="27"/>
    <w:uiPriority w:val="0"/>
    <w:tblPr>
      <w:tblCellMar>
        <w:top w:w="15" w:type="dxa"/>
        <w:left w:w="15" w:type="dxa"/>
        <w:bottom w:w="15" w:type="dxa"/>
        <w:right w:w="15" w:type="dxa"/>
      </w:tblCellMar>
    </w:tblPr>
  </w:style>
  <w:style w:type="character" w:customStyle="1" w:styleId="34">
    <w:name w:val="Текст выноски Знак"/>
    <w:basedOn w:val="8"/>
    <w:link w:val="10"/>
    <w:semiHidden/>
    <w:uiPriority w:val="99"/>
    <w:rPr>
      <w:rFonts w:ascii="Segoe UI" w:hAnsi="Segoe UI" w:cs="Segoe UI"/>
      <w:sz w:val="18"/>
      <w:szCs w:val="18"/>
      <w:lang w:val="uk" w:eastAsia="uk"/>
    </w:rPr>
  </w:style>
  <w:style w:type="character" w:customStyle="1" w:styleId="35">
    <w:name w:val="Верхний колонтитул Знак"/>
    <w:basedOn w:val="8"/>
    <w:link w:val="14"/>
    <w:uiPriority w:val="99"/>
    <w:rPr>
      <w:lang w:val="uk" w:eastAsia="uk"/>
    </w:rPr>
  </w:style>
  <w:style w:type="character" w:customStyle="1" w:styleId="36">
    <w:name w:val="Нижний колонтитул Знак"/>
    <w:basedOn w:val="8"/>
    <w:link w:val="13"/>
    <w:uiPriority w:val="99"/>
    <w:rPr>
      <w:lang w:val="uk" w:eastAsia="uk"/>
    </w:rPr>
  </w:style>
  <w:style w:type="table" w:customStyle="1" w:styleId="37">
    <w:name w:val="_Style 34"/>
    <w:basedOn w:val="27"/>
    <w:uiPriority w:val="0"/>
    <w:tblPr>
      <w:tblCellMar>
        <w:top w:w="15" w:type="dxa"/>
        <w:left w:w="15" w:type="dxa"/>
        <w:bottom w:w="15" w:type="dxa"/>
        <w:right w:w="15" w:type="dxa"/>
      </w:tblCellMar>
    </w:tblPr>
  </w:style>
  <w:style w:type="table" w:customStyle="1" w:styleId="38">
    <w:name w:val="_Style 35"/>
    <w:basedOn w:val="27"/>
    <w:uiPriority w:val="0"/>
    <w:tblPr>
      <w:tblCellMar>
        <w:top w:w="15" w:type="dxa"/>
        <w:left w:w="15" w:type="dxa"/>
        <w:bottom w:w="15" w:type="dxa"/>
        <w:right w:w="15" w:type="dxa"/>
      </w:tblCellMar>
    </w:tblPr>
  </w:style>
  <w:style w:type="table" w:customStyle="1" w:styleId="39">
    <w:name w:val="_Style 36"/>
    <w:basedOn w:val="26"/>
    <w:uiPriority w:val="0"/>
    <w:tblPr>
      <w:tblCellMar>
        <w:top w:w="15" w:type="dxa"/>
        <w:left w:w="15" w:type="dxa"/>
        <w:bottom w:w="15" w:type="dxa"/>
        <w:right w:w="15" w:type="dxa"/>
      </w:tblCellMar>
    </w:tblPr>
  </w:style>
  <w:style w:type="table" w:customStyle="1" w:styleId="40">
    <w:name w:val="_Style 37"/>
    <w:basedOn w:val="26"/>
    <w:uiPriority w:val="0"/>
    <w:tblPr>
      <w:tblCellMar>
        <w:top w:w="15" w:type="dxa"/>
        <w:left w:w="15" w:type="dxa"/>
        <w:bottom w:w="15" w:type="dxa"/>
        <w:right w:w="15" w:type="dxa"/>
      </w:tblCellMar>
    </w:tblPr>
  </w:style>
  <w:style w:type="table" w:customStyle="1" w:styleId="41">
    <w:name w:val="_Style 38"/>
    <w:basedOn w:val="26"/>
    <w:uiPriority w:val="0"/>
    <w:tblPr>
      <w:tblCellMar>
        <w:top w:w="15" w:type="dxa"/>
        <w:left w:w="15" w:type="dxa"/>
        <w:bottom w:w="15" w:type="dxa"/>
        <w:right w:w="15" w:type="dxa"/>
      </w:tblCellMar>
    </w:tblPr>
  </w:style>
  <w:style w:type="table" w:customStyle="1" w:styleId="42">
    <w:name w:val="_Style 39"/>
    <w:basedOn w:val="26"/>
    <w:uiPriority w:val="0"/>
    <w:tblPr>
      <w:tblCellMar>
        <w:top w:w="15" w:type="dxa"/>
        <w:left w:w="15" w:type="dxa"/>
        <w:bottom w:w="15" w:type="dxa"/>
        <w:right w:w="15" w:type="dxa"/>
      </w:tblCellMar>
    </w:tblPr>
  </w:style>
  <w:style w:type="table" w:customStyle="1" w:styleId="43">
    <w:name w:val="_Style 40"/>
    <w:basedOn w:val="26"/>
    <w:uiPriority w:val="0"/>
    <w:tblPr>
      <w:tblCellMar>
        <w:top w:w="15" w:type="dxa"/>
        <w:left w:w="15" w:type="dxa"/>
        <w:bottom w:w="15" w:type="dxa"/>
        <w:right w:w="15" w:type="dxa"/>
      </w:tblCellMar>
    </w:tblPr>
  </w:style>
  <w:style w:type="table" w:customStyle="1" w:styleId="44">
    <w:name w:val="_Style 41"/>
    <w:basedOn w:val="26"/>
    <w:uiPriority w:val="0"/>
    <w:tblPr>
      <w:tblCellMar>
        <w:top w:w="15" w:type="dxa"/>
        <w:left w:w="15" w:type="dxa"/>
        <w:bottom w:w="15" w:type="dxa"/>
        <w:right w:w="15" w:type="dxa"/>
      </w:tblCellMar>
    </w:tblPr>
  </w:style>
  <w:style w:type="table" w:customStyle="1" w:styleId="45">
    <w:name w:val="_Style 42"/>
    <w:basedOn w:val="26"/>
    <w:uiPriority w:val="0"/>
    <w:tblPr>
      <w:tblCellMar>
        <w:top w:w="15" w:type="dxa"/>
        <w:left w:w="15" w:type="dxa"/>
        <w:bottom w:w="15" w:type="dxa"/>
        <w:right w:w="15" w:type="dxa"/>
      </w:tblCellMar>
    </w:tblPr>
  </w:style>
  <w:style w:type="table" w:customStyle="1" w:styleId="46">
    <w:name w:val="_Style 43"/>
    <w:basedOn w:val="26"/>
    <w:uiPriority w:val="0"/>
    <w:tblPr>
      <w:tblCellMar>
        <w:top w:w="15" w:type="dxa"/>
        <w:left w:w="15" w:type="dxa"/>
        <w:bottom w:w="15" w:type="dxa"/>
        <w:right w:w="15" w:type="dxa"/>
      </w:tblCellMar>
    </w:tblPr>
  </w:style>
  <w:style w:type="table" w:customStyle="1" w:styleId="47">
    <w:name w:val="_Style 44"/>
    <w:basedOn w:val="26"/>
    <w:uiPriority w:val="0"/>
    <w:tblPr>
      <w:tblCellMar>
        <w:top w:w="15" w:type="dxa"/>
        <w:left w:w="15" w:type="dxa"/>
        <w:bottom w:w="15" w:type="dxa"/>
        <w:right w:w="15" w:type="dxa"/>
      </w:tblCellMar>
    </w:tblPr>
  </w:style>
  <w:style w:type="table" w:customStyle="1" w:styleId="48">
    <w:name w:val="_Style 45"/>
    <w:basedOn w:val="26"/>
    <w:qFormat/>
    <w:uiPriority w:val="0"/>
    <w:tblPr>
      <w:tblCellMar>
        <w:top w:w="15" w:type="dxa"/>
        <w:left w:w="15" w:type="dxa"/>
        <w:bottom w:w="15" w:type="dxa"/>
        <w:right w:w="15" w:type="dxa"/>
      </w:tblCellMar>
    </w:tblPr>
  </w:style>
  <w:style w:type="table" w:customStyle="1" w:styleId="49">
    <w:name w:val="_Style 46"/>
    <w:basedOn w:val="26"/>
    <w:uiPriority w:val="0"/>
    <w:tblPr>
      <w:tblCellMar>
        <w:top w:w="15" w:type="dxa"/>
        <w:left w:w="15" w:type="dxa"/>
        <w:bottom w:w="15" w:type="dxa"/>
        <w:right w:w="15" w:type="dxa"/>
      </w:tblCellMar>
    </w:tblPr>
  </w:style>
  <w:style w:type="table" w:customStyle="1" w:styleId="50">
    <w:name w:val="_Style 47"/>
    <w:basedOn w:val="26"/>
    <w:uiPriority w:val="0"/>
    <w:tblPr>
      <w:tblCellMar>
        <w:top w:w="15" w:type="dxa"/>
        <w:left w:w="15" w:type="dxa"/>
        <w:bottom w:w="15" w:type="dxa"/>
        <w:right w:w="15" w:type="dxa"/>
      </w:tblCellMar>
    </w:tblPr>
  </w:style>
  <w:style w:type="table" w:customStyle="1" w:styleId="51">
    <w:name w:val="_Style 48"/>
    <w:basedOn w:val="26"/>
    <w:uiPriority w:val="0"/>
    <w:tblPr>
      <w:tblCellMar>
        <w:top w:w="15" w:type="dxa"/>
        <w:left w:w="15" w:type="dxa"/>
        <w:bottom w:w="15" w:type="dxa"/>
        <w:right w:w="15" w:type="dxa"/>
      </w:tblCellMar>
    </w:tblPr>
  </w:style>
  <w:style w:type="table" w:customStyle="1" w:styleId="52">
    <w:name w:val="_Style 49"/>
    <w:basedOn w:val="26"/>
    <w:uiPriority w:val="0"/>
    <w:tblPr>
      <w:tblCellMar>
        <w:top w:w="15" w:type="dxa"/>
        <w:left w:w="15" w:type="dxa"/>
        <w:bottom w:w="15" w:type="dxa"/>
        <w:right w:w="15" w:type="dxa"/>
      </w:tblCellMar>
    </w:tblPr>
  </w:style>
  <w:style w:type="table" w:customStyle="1" w:styleId="53">
    <w:name w:val="_Style 50"/>
    <w:basedOn w:val="26"/>
    <w:uiPriority w:val="0"/>
    <w:tblPr>
      <w:tblCellMar>
        <w:top w:w="15" w:type="dxa"/>
        <w:left w:w="15" w:type="dxa"/>
        <w:bottom w:w="15" w:type="dxa"/>
        <w:right w:w="15" w:type="dxa"/>
      </w:tblCellMar>
    </w:tblPr>
  </w:style>
  <w:style w:type="table" w:customStyle="1" w:styleId="54">
    <w:name w:val="_Style 51"/>
    <w:basedOn w:val="26"/>
    <w:uiPriority w:val="0"/>
    <w:tblPr>
      <w:tblCellMar>
        <w:top w:w="15" w:type="dxa"/>
        <w:left w:w="15" w:type="dxa"/>
        <w:bottom w:w="15" w:type="dxa"/>
        <w:right w:w="15" w:type="dxa"/>
      </w:tblCellMar>
    </w:tblPr>
  </w:style>
  <w:style w:type="table" w:customStyle="1" w:styleId="55">
    <w:name w:val="_Style 52"/>
    <w:basedOn w:val="26"/>
    <w:uiPriority w:val="0"/>
    <w:tblPr>
      <w:tblCellMar>
        <w:top w:w="15" w:type="dxa"/>
        <w:left w:w="15" w:type="dxa"/>
        <w:bottom w:w="15" w:type="dxa"/>
        <w:right w:w="15" w:type="dxa"/>
      </w:tblCellMar>
    </w:tblPr>
  </w:style>
  <w:style w:type="table" w:customStyle="1" w:styleId="56">
    <w:name w:val="_Style 53"/>
    <w:basedOn w:val="26"/>
    <w:uiPriority w:val="0"/>
    <w:tblPr>
      <w:tblCellMar>
        <w:top w:w="15" w:type="dxa"/>
        <w:left w:w="15" w:type="dxa"/>
        <w:bottom w:w="15" w:type="dxa"/>
        <w:right w:w="15" w:type="dxa"/>
      </w:tblCellMar>
    </w:tblPr>
  </w:style>
  <w:style w:type="table" w:customStyle="1" w:styleId="57">
    <w:name w:val="_Style 54"/>
    <w:basedOn w:val="26"/>
    <w:uiPriority w:val="0"/>
    <w:tblPr>
      <w:tblCellMar>
        <w:top w:w="15" w:type="dxa"/>
        <w:left w:w="15" w:type="dxa"/>
        <w:bottom w:w="15" w:type="dxa"/>
        <w:right w:w="15" w:type="dxa"/>
      </w:tblCellMar>
    </w:tblPr>
  </w:style>
  <w:style w:type="table" w:customStyle="1" w:styleId="58">
    <w:name w:val="_Style 55"/>
    <w:basedOn w:val="26"/>
    <w:uiPriority w:val="0"/>
    <w:tblPr>
      <w:tblCellMar>
        <w:top w:w="15" w:type="dxa"/>
        <w:left w:w="15" w:type="dxa"/>
        <w:bottom w:w="15" w:type="dxa"/>
        <w:right w:w="15" w:type="dxa"/>
      </w:tblCellMar>
    </w:tblPr>
  </w:style>
  <w:style w:type="table" w:customStyle="1" w:styleId="59">
    <w:name w:val="_Style 56"/>
    <w:basedOn w:val="26"/>
    <w:uiPriority w:val="0"/>
    <w:tblPr>
      <w:tblCellMar>
        <w:top w:w="15" w:type="dxa"/>
        <w:left w:w="15" w:type="dxa"/>
        <w:bottom w:w="15" w:type="dxa"/>
        <w:right w:w="15" w:type="dxa"/>
      </w:tblCellMar>
    </w:tblPr>
  </w:style>
  <w:style w:type="table" w:customStyle="1" w:styleId="60">
    <w:name w:val="_Style 57"/>
    <w:basedOn w:val="26"/>
    <w:uiPriority w:val="0"/>
    <w:tblPr>
      <w:tblCellMar>
        <w:top w:w="15" w:type="dxa"/>
        <w:left w:w="15" w:type="dxa"/>
        <w:bottom w:w="15" w:type="dxa"/>
        <w:right w:w="15" w:type="dxa"/>
      </w:tblCellMar>
    </w:tblPr>
  </w:style>
  <w:style w:type="character" w:customStyle="1" w:styleId="61">
    <w:name w:val="Текст примечания Знак"/>
    <w:basedOn w:val="8"/>
    <w:link w:val="12"/>
    <w:semiHidden/>
    <w:uiPriority w:val="99"/>
    <w:rPr>
      <w:sz w:val="20"/>
      <w:szCs w:val="20"/>
      <w:lang w:eastAsia="u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TOpZDNFmOV/4i88uYB94L6No+A==">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7</Pages>
  <Words>1453</Words>
  <Characters>8287</Characters>
  <Lines>69</Lines>
  <Paragraphs>19</Paragraphs>
  <TotalTime>73</TotalTime>
  <ScaleCrop>false</ScaleCrop>
  <LinksUpToDate>false</LinksUpToDate>
  <CharactersWithSpaces>9721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2024-01-17T13:16:00Z</dcterms:created>
  <dc:creator>user15</dc:creator>
  <cp:lastModifiedBy>Таня</cp:lastModifiedBy>
  <dcterms:modified xsi:type="dcterms:W3CDTF">2024-02-28T08:02:36Z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7697DC8D92394F68B00EA410CFD04D04_13</vt:lpwstr>
  </property>
</Properties>
</file>