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Hlk84268551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Протокольне рішення</w:t>
      </w:r>
    </w:p>
    <w:p w14:paraId="0FFC4BF4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Уповноваженого з публічних </w:t>
      </w:r>
      <w:proofErr w:type="spellStart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5CFA94B9" w14:textId="77777777" w:rsidR="00E140DC" w:rsidRPr="00D86E36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86E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4DEBEE74" w:rsidR="00904A5A" w:rsidRPr="00877BF7" w:rsidRDefault="00D86E36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352B1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6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</w:t>
      </w:r>
      <w:r w:rsidR="00352B18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352B1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352B1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="00352B1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352B1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144F7574" w:rsidR="00904A5A" w:rsidRPr="00877BF7" w:rsidRDefault="00904A5A" w:rsidP="00877BF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r w:rsidR="00352B18" w:rsidRPr="00352B18">
        <w:rPr>
          <w:rFonts w:ascii="Times New Roman" w:eastAsia="SimSun" w:hAnsi="Times New Roman" w:cs="Times New Roman"/>
          <w:b/>
          <w:bCs/>
          <w:sz w:val="24"/>
          <w:szCs w:val="24"/>
        </w:rPr>
        <w:t>Свинина, код ДК 021:2015 – 15113000-3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C265AF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19C39D01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06AEC36" w14:textId="698C5056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 з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6F2E270" w14:textId="7BEEF633" w:rsidR="00D86E36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Постанови від 30 грудня 2022 р. № 1495 Кабінету Міністрів України «Про внесення змін до особливостей здійснення публічних </w:t>
      </w:r>
      <w:proofErr w:type="spellStart"/>
      <w:r w:rsidRPr="0036124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61241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аукціони не проводитимуться на період дії воєнного стану і та протягом 90 днів з моменту його припинення.</w:t>
      </w:r>
    </w:p>
    <w:p w14:paraId="20F48A9E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0768F50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3F64D315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1A0294B6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700FD9EA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B27D102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189FBE4" w14:textId="77777777" w:rsidR="00D86E36" w:rsidRPr="00877BF7" w:rsidRDefault="00D86E36" w:rsidP="00D86E36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F7">
        <w:rPr>
          <w:rFonts w:ascii="Times New Roman" w:hAnsi="Times New Roman" w:cs="Times New Roman"/>
          <w:sz w:val="24"/>
          <w:szCs w:val="24"/>
        </w:rPr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5911C38" w14:textId="77777777" w:rsidR="00D86E36" w:rsidRPr="00877BF7" w:rsidRDefault="00D86E36" w:rsidP="00D86E36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особливостями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AF44145" w14:textId="77777777" w:rsidR="00D86E36" w:rsidRPr="00877BF7" w:rsidRDefault="00D86E36" w:rsidP="00D86E3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п. 34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строк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0035928D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D86E36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особливостями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6AB85009" w14:textId="55E58BDF" w:rsidR="00D86E36" w:rsidRPr="00E07ADD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232D1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58B8" w:rsidRP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2B18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«</w:t>
      </w:r>
      <w:r w:rsidR="00352B18" w:rsidRPr="00352B18">
        <w:rPr>
          <w:rFonts w:ascii="Times New Roman" w:eastAsia="SimSun" w:hAnsi="Times New Roman" w:cs="Times New Roman"/>
          <w:b/>
          <w:bCs/>
          <w:sz w:val="24"/>
          <w:szCs w:val="24"/>
        </w:rPr>
        <w:t>Свинина, код ДК 021:2015 – 15113000-3</w:t>
      </w:r>
      <w:r w:rsidR="00352B18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»</w:t>
      </w:r>
      <w:r w:rsidR="00352B1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, код за ДК </w:t>
      </w:r>
      <w:r w:rsidR="00352B18" w:rsidRPr="00352B18">
        <w:rPr>
          <w:rFonts w:ascii="Times New Roman" w:eastAsia="SimSun" w:hAnsi="Times New Roman" w:cs="Times New Roman"/>
          <w:b/>
          <w:bCs/>
          <w:sz w:val="24"/>
          <w:szCs w:val="24"/>
        </w:rPr>
        <w:t>021:2015 -  15110000-2 М’ясо</w:t>
      </w:r>
    </w:p>
    <w:p w14:paraId="45837E64" w14:textId="3BE369D9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7A292E9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352B1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найменува</w:t>
      </w:r>
      <w:r w:rsidR="00A72CE9">
        <w:rPr>
          <w:rFonts w:ascii="Times New Roman" w:eastAsiaTheme="minorHAnsi" w:hAnsi="Times New Roman" w:cs="Times New Roman"/>
          <w:sz w:val="24"/>
          <w:szCs w:val="24"/>
          <w:lang w:eastAsia="en-US"/>
        </w:rPr>
        <w:t>ння</w:t>
      </w:r>
    </w:p>
    <w:p w14:paraId="417700F0" w14:textId="340424EB" w:rsidR="00904A5A" w:rsidRPr="00877BF7" w:rsidRDefault="00904A5A" w:rsidP="00D86E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 чи 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вул. М. </w:t>
      </w:r>
      <w:proofErr w:type="spellStart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Матеюка</w:t>
      </w:r>
      <w:proofErr w:type="spellEnd"/>
      <w:r w:rsidR="00D05BEE" w:rsidRPr="00D05BEE">
        <w:rPr>
          <w:rFonts w:ascii="Times New Roman" w:eastAsiaTheme="minorHAnsi" w:hAnsi="Times New Roman" w:cs="Times New Roman"/>
          <w:sz w:val="24"/>
          <w:szCs w:val="24"/>
          <w:lang w:eastAsia="en-US"/>
        </w:rPr>
        <w:t>, 4</w:t>
      </w:r>
      <w:r w:rsidR="00D86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BD381" w14:textId="17990860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067131">
        <w:rPr>
          <w:rFonts w:eastAsiaTheme="minorHAnsi"/>
          <w:lang w:val="ru-RU" w:eastAsia="en-US"/>
        </w:rPr>
        <w:t>3 228 000</w:t>
      </w:r>
      <w:r w:rsidR="00A72CE9">
        <w:rPr>
          <w:color w:val="000000"/>
        </w:rPr>
        <w:t xml:space="preserve"> </w:t>
      </w:r>
      <w:r w:rsidR="002232D1" w:rsidRPr="00877BF7">
        <w:rPr>
          <w:color w:val="000000"/>
        </w:rPr>
        <w:t xml:space="preserve">грн з ПДВ </w:t>
      </w:r>
    </w:p>
    <w:p w14:paraId="7C9DA6F2" w14:textId="7341C3B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D05BE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7380F7F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352B1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14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</w:t>
      </w:r>
      <w:r w:rsidR="00352B1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D66E5DF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D86E36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59AD10B1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банківські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78CDB873" w14:textId="0B337F66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352B1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14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352B1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</w:p>
    <w:p w14:paraId="1813A66B" w14:textId="4A9057EE" w:rsidR="00904A5A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11.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Розмір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мінімального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кроку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пониження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ціни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час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електронного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аукціону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 </w:t>
      </w:r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межах 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</w:t>
      </w:r>
      <w:proofErr w:type="spellEnd"/>
      <w:proofErr w:type="gram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0,5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 3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відсотків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очікуваної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вартості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грошових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одиницях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D86E3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не проводиться. </w:t>
      </w:r>
      <w:r w:rsidR="002232D1" w:rsidRPr="00877BF7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 </w:t>
      </w:r>
    </w:p>
    <w:p w14:paraId="2FA488CE" w14:textId="562121DF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Pr="00D05BEE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067131"/>
    <w:rsid w:val="002232D1"/>
    <w:rsid w:val="002B064B"/>
    <w:rsid w:val="00352B18"/>
    <w:rsid w:val="004A6182"/>
    <w:rsid w:val="006C3708"/>
    <w:rsid w:val="00844218"/>
    <w:rsid w:val="00877BF7"/>
    <w:rsid w:val="008E58B8"/>
    <w:rsid w:val="00904A5A"/>
    <w:rsid w:val="00A72CE9"/>
    <w:rsid w:val="00D05BEE"/>
    <w:rsid w:val="00D86E36"/>
    <w:rsid w:val="00DC3101"/>
    <w:rsid w:val="00E07ADD"/>
    <w:rsid w:val="00E140DC"/>
    <w:rsid w:val="00E824B0"/>
    <w:rsid w:val="00EC4365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2023-03-06T15:08:00Z</dcterms:created>
  <dcterms:modified xsi:type="dcterms:W3CDTF">2023-03-06T15:08:00Z</dcterms:modified>
</cp:coreProperties>
</file>