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41921C37" w:rsidR="00611FEE" w:rsidRPr="00486CAB" w:rsidRDefault="00611FEE" w:rsidP="00611FEE">
      <w:pPr>
        <w:spacing w:after="0" w:line="240" w:lineRule="auto"/>
        <w:jc w:val="right"/>
        <w:rPr>
          <w:rFonts w:ascii="Times New Roman" w:hAnsi="Times New Roman"/>
          <w:sz w:val="24"/>
          <w:szCs w:val="24"/>
        </w:rPr>
      </w:pPr>
      <w:r w:rsidRPr="00491EBA">
        <w:rPr>
          <w:rFonts w:ascii="Times New Roman" w:hAnsi="Times New Roman"/>
          <w:sz w:val="24"/>
          <w:szCs w:val="24"/>
        </w:rPr>
        <w:t xml:space="preserve">протокол  № </w:t>
      </w:r>
      <w:r w:rsidR="0059350D">
        <w:rPr>
          <w:rFonts w:ascii="Times New Roman" w:hAnsi="Times New Roman"/>
          <w:sz w:val="24"/>
          <w:szCs w:val="24"/>
        </w:rPr>
        <w:t>6</w:t>
      </w:r>
      <w:r w:rsidRPr="00491EBA">
        <w:rPr>
          <w:rFonts w:ascii="Times New Roman" w:hAnsi="Times New Roman"/>
          <w:sz w:val="24"/>
          <w:szCs w:val="24"/>
        </w:rPr>
        <w:t xml:space="preserve"> від </w:t>
      </w:r>
      <w:r w:rsidR="0059350D">
        <w:rPr>
          <w:rFonts w:ascii="Times New Roman" w:hAnsi="Times New Roman"/>
          <w:sz w:val="24"/>
          <w:szCs w:val="24"/>
        </w:rPr>
        <w:t>17</w:t>
      </w:r>
      <w:r w:rsidRPr="00491EBA">
        <w:rPr>
          <w:rFonts w:ascii="Times New Roman" w:hAnsi="Times New Roman"/>
          <w:sz w:val="24"/>
          <w:szCs w:val="24"/>
        </w:rPr>
        <w:t>.</w:t>
      </w:r>
      <w:r w:rsidR="00491EBA" w:rsidRPr="00491EBA">
        <w:rPr>
          <w:rFonts w:ascii="Times New Roman" w:hAnsi="Times New Roman"/>
          <w:sz w:val="24"/>
          <w:szCs w:val="24"/>
        </w:rPr>
        <w:t>01.2023</w:t>
      </w:r>
      <w:r w:rsidRPr="00764099">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6EAF8C87"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C90190">
        <w:rPr>
          <w:rFonts w:ascii="Times New Roman" w:hAnsi="Times New Roman"/>
          <w:sz w:val="24"/>
          <w:szCs w:val="24"/>
        </w:rPr>
        <w:t>Олена МОСКАЛЕНКО</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567A254C"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proofErr w:type="spellStart"/>
      <w:r w:rsidR="0053242E">
        <w:rPr>
          <w:rFonts w:ascii="Times New Roman" w:eastAsia="Times New Roman" w:hAnsi="Times New Roman" w:cs="Times New Roman"/>
          <w:b/>
          <w:sz w:val="24"/>
          <w:szCs w:val="24"/>
        </w:rPr>
        <w:t>Товірів</w:t>
      </w:r>
      <w:proofErr w:type="spellEnd"/>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47C31CD4" w14:textId="77777777" w:rsidR="007D0267" w:rsidRDefault="00774B47" w:rsidP="002D6FFC">
      <w:pPr>
        <w:spacing w:before="240" w:after="0" w:line="240" w:lineRule="auto"/>
        <w:jc w:val="both"/>
        <w:rPr>
          <w:rFonts w:ascii="Times New Roman" w:hAnsi="Times New Roman" w:cs="Times New Roman"/>
          <w:sz w:val="24"/>
          <w:szCs w:val="24"/>
        </w:rPr>
      </w:pPr>
      <w:r w:rsidRPr="00614F53">
        <w:rPr>
          <w:rFonts w:ascii="Times New Roman" w:hAnsi="Times New Roman" w:cs="Times New Roman"/>
          <w:b/>
          <w:bCs/>
          <w:sz w:val="28"/>
          <w:szCs w:val="28"/>
        </w:rPr>
        <w:t>Лікарські засоби:</w:t>
      </w:r>
      <w:r>
        <w:rPr>
          <w:rFonts w:ascii="Times New Roman" w:hAnsi="Times New Roman" w:cs="Times New Roman"/>
          <w:b/>
          <w:bCs/>
          <w:sz w:val="24"/>
          <w:szCs w:val="24"/>
        </w:rPr>
        <w:t xml:space="preserve"> </w:t>
      </w:r>
      <w:proofErr w:type="spellStart"/>
      <w:r w:rsidR="007D0267" w:rsidRPr="008D764E">
        <w:rPr>
          <w:rFonts w:ascii="Times New Roman" w:hAnsi="Times New Roman" w:cs="Times New Roman"/>
          <w:b/>
          <w:sz w:val="24"/>
          <w:szCs w:val="24"/>
        </w:rPr>
        <w:t>Sodium</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chloride</w:t>
      </w:r>
      <w:proofErr w:type="spellEnd"/>
      <w:r w:rsidR="007D0267" w:rsidRPr="008D764E">
        <w:rPr>
          <w:rFonts w:ascii="Times New Roman" w:hAnsi="Times New Roman" w:cs="Times New Roman"/>
          <w:sz w:val="24"/>
          <w:szCs w:val="24"/>
        </w:rPr>
        <w:t xml:space="preserve"> (</w:t>
      </w:r>
      <w:r w:rsidR="007D0267" w:rsidRPr="008D764E">
        <w:rPr>
          <w:rFonts w:ascii="Times New Roman" w:hAnsi="Times New Roman" w:cs="Times New Roman"/>
          <w:color w:val="000000"/>
          <w:sz w:val="24"/>
          <w:szCs w:val="24"/>
        </w:rPr>
        <w:t xml:space="preserve">розчин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9 мг/мл по 100 мл); </w:t>
      </w:r>
      <w:proofErr w:type="spellStart"/>
      <w:r w:rsidR="007D0267" w:rsidRPr="008D764E">
        <w:rPr>
          <w:rFonts w:ascii="Times New Roman" w:hAnsi="Times New Roman" w:cs="Times New Roman"/>
          <w:b/>
          <w:sz w:val="24"/>
          <w:szCs w:val="24"/>
        </w:rPr>
        <w:t>Sodium</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chloride</w:t>
      </w:r>
      <w:proofErr w:type="spellEnd"/>
      <w:r w:rsidR="007D0267" w:rsidRPr="008D764E">
        <w:rPr>
          <w:rFonts w:ascii="Times New Roman" w:hAnsi="Times New Roman" w:cs="Times New Roman"/>
          <w:sz w:val="24"/>
          <w:szCs w:val="24"/>
        </w:rPr>
        <w:t xml:space="preserve"> (</w:t>
      </w:r>
      <w:r w:rsidR="007D0267" w:rsidRPr="008D764E">
        <w:rPr>
          <w:rFonts w:ascii="Times New Roman" w:hAnsi="Times New Roman" w:cs="Times New Roman"/>
          <w:color w:val="000000"/>
          <w:sz w:val="24"/>
          <w:szCs w:val="24"/>
        </w:rPr>
        <w:t xml:space="preserve">розчин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9 мг/мл по 200 мл); </w:t>
      </w:r>
      <w:proofErr w:type="spellStart"/>
      <w:r w:rsidR="007D0267" w:rsidRPr="008D764E">
        <w:rPr>
          <w:rFonts w:ascii="Times New Roman" w:hAnsi="Times New Roman" w:cs="Times New Roman"/>
          <w:b/>
          <w:sz w:val="24"/>
          <w:szCs w:val="24"/>
        </w:rPr>
        <w:t>Sodium</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chloride</w:t>
      </w:r>
      <w:proofErr w:type="spellEnd"/>
      <w:r w:rsidR="007D0267" w:rsidRPr="008D764E">
        <w:rPr>
          <w:rFonts w:ascii="Times New Roman" w:hAnsi="Times New Roman" w:cs="Times New Roman"/>
          <w:sz w:val="24"/>
          <w:szCs w:val="24"/>
        </w:rPr>
        <w:t xml:space="preserve"> (</w:t>
      </w:r>
      <w:r w:rsidR="007D0267" w:rsidRPr="008D764E">
        <w:rPr>
          <w:rFonts w:ascii="Times New Roman" w:hAnsi="Times New Roman" w:cs="Times New Roman"/>
          <w:color w:val="000000"/>
          <w:sz w:val="24"/>
          <w:szCs w:val="24"/>
        </w:rPr>
        <w:t xml:space="preserve">розчин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9 мг/мл по 400 мл); </w:t>
      </w:r>
      <w:proofErr w:type="spellStart"/>
      <w:r w:rsidR="007D0267" w:rsidRPr="008D764E">
        <w:rPr>
          <w:rFonts w:ascii="Times New Roman" w:hAnsi="Times New Roman" w:cs="Times New Roman"/>
          <w:b/>
          <w:sz w:val="24"/>
          <w:szCs w:val="24"/>
        </w:rPr>
        <w:t>Cefepime</w:t>
      </w:r>
      <w:proofErr w:type="spellEnd"/>
      <w:r w:rsidR="007D0267" w:rsidRPr="008D764E">
        <w:rPr>
          <w:rFonts w:ascii="Times New Roman" w:hAnsi="Times New Roman" w:cs="Times New Roman"/>
          <w:sz w:val="24"/>
          <w:szCs w:val="24"/>
        </w:rPr>
        <w:t xml:space="preserve"> (порошок для розчину для ін'єкцій по 1000 мг у флаконі №10); </w:t>
      </w:r>
      <w:proofErr w:type="spellStart"/>
      <w:r w:rsidR="007D0267" w:rsidRPr="008D764E">
        <w:rPr>
          <w:rFonts w:ascii="Times New Roman" w:hAnsi="Times New Roman" w:cs="Times New Roman"/>
          <w:b/>
          <w:sz w:val="24"/>
          <w:szCs w:val="24"/>
        </w:rPr>
        <w:t>Levofloxacin</w:t>
      </w:r>
      <w:proofErr w:type="spellEnd"/>
      <w:r w:rsidR="007D0267" w:rsidRPr="008D764E">
        <w:rPr>
          <w:rFonts w:ascii="Times New Roman" w:hAnsi="Times New Roman" w:cs="Times New Roman"/>
          <w:sz w:val="24"/>
          <w:szCs w:val="24"/>
        </w:rPr>
        <w:t xml:space="preserve"> (розчин для </w:t>
      </w:r>
      <w:proofErr w:type="spellStart"/>
      <w:r w:rsidR="007D0267" w:rsidRPr="008D764E">
        <w:rPr>
          <w:rFonts w:ascii="Times New Roman" w:hAnsi="Times New Roman" w:cs="Times New Roman"/>
          <w:sz w:val="24"/>
          <w:szCs w:val="24"/>
        </w:rPr>
        <w:t>інфузій</w:t>
      </w:r>
      <w:proofErr w:type="spellEnd"/>
      <w:r w:rsidR="007D0267" w:rsidRPr="008D764E">
        <w:rPr>
          <w:rFonts w:ascii="Times New Roman" w:hAnsi="Times New Roman" w:cs="Times New Roman"/>
          <w:sz w:val="24"/>
          <w:szCs w:val="24"/>
        </w:rPr>
        <w:t xml:space="preserve"> 5 мг/мл по 100 мл); </w:t>
      </w:r>
      <w:proofErr w:type="spellStart"/>
      <w:r w:rsidR="007D0267" w:rsidRPr="008D764E">
        <w:rPr>
          <w:rFonts w:ascii="Times New Roman" w:hAnsi="Times New Roman" w:cs="Times New Roman"/>
          <w:b/>
          <w:sz w:val="24"/>
          <w:szCs w:val="24"/>
        </w:rPr>
        <w:t>Paracetamol</w:t>
      </w:r>
      <w:proofErr w:type="spellEnd"/>
      <w:r w:rsidR="007D0267" w:rsidRPr="008D764E">
        <w:rPr>
          <w:rFonts w:ascii="Times New Roman" w:hAnsi="Times New Roman" w:cs="Times New Roman"/>
          <w:sz w:val="24"/>
          <w:szCs w:val="24"/>
        </w:rPr>
        <w:t xml:space="preserve"> (</w:t>
      </w:r>
      <w:r w:rsidR="007D0267" w:rsidRPr="008D764E">
        <w:rPr>
          <w:rFonts w:ascii="Times New Roman" w:hAnsi="Times New Roman" w:cs="Times New Roman"/>
          <w:color w:val="000000"/>
          <w:sz w:val="24"/>
          <w:szCs w:val="24"/>
        </w:rPr>
        <w:t xml:space="preserve">розчин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1000 мг/100 мл); </w:t>
      </w:r>
      <w:proofErr w:type="spellStart"/>
      <w:r w:rsidR="007D0267" w:rsidRPr="008D764E">
        <w:rPr>
          <w:rFonts w:ascii="Times New Roman" w:hAnsi="Times New Roman" w:cs="Times New Roman"/>
          <w:b/>
          <w:sz w:val="24"/>
          <w:szCs w:val="24"/>
        </w:rPr>
        <w:t>Glucose</w:t>
      </w:r>
      <w:proofErr w:type="spellEnd"/>
      <w:r w:rsidR="007D0267" w:rsidRPr="008D764E">
        <w:rPr>
          <w:rFonts w:ascii="Times New Roman" w:hAnsi="Times New Roman" w:cs="Times New Roman"/>
          <w:sz w:val="24"/>
          <w:szCs w:val="24"/>
        </w:rPr>
        <w:t xml:space="preserve"> (розчин для </w:t>
      </w:r>
      <w:proofErr w:type="spellStart"/>
      <w:r w:rsidR="007D0267" w:rsidRPr="008D764E">
        <w:rPr>
          <w:rFonts w:ascii="Times New Roman" w:hAnsi="Times New Roman" w:cs="Times New Roman"/>
          <w:sz w:val="24"/>
          <w:szCs w:val="24"/>
        </w:rPr>
        <w:t>інфузій</w:t>
      </w:r>
      <w:proofErr w:type="spellEnd"/>
      <w:r w:rsidR="007D0267" w:rsidRPr="008D764E">
        <w:rPr>
          <w:rFonts w:ascii="Times New Roman" w:hAnsi="Times New Roman" w:cs="Times New Roman"/>
          <w:sz w:val="24"/>
          <w:szCs w:val="24"/>
        </w:rPr>
        <w:t xml:space="preserve"> 50 мг/мл по 200 мл); </w:t>
      </w:r>
      <w:proofErr w:type="spellStart"/>
      <w:r w:rsidR="007D0267" w:rsidRPr="008D764E">
        <w:rPr>
          <w:rFonts w:ascii="Times New Roman" w:hAnsi="Times New Roman" w:cs="Times New Roman"/>
          <w:b/>
          <w:sz w:val="24"/>
          <w:szCs w:val="24"/>
        </w:rPr>
        <w:t>Metronidazole</w:t>
      </w:r>
      <w:proofErr w:type="spellEnd"/>
      <w:r w:rsidR="007D0267" w:rsidRPr="008D764E">
        <w:rPr>
          <w:rFonts w:ascii="Times New Roman" w:hAnsi="Times New Roman" w:cs="Times New Roman"/>
          <w:sz w:val="24"/>
          <w:szCs w:val="24"/>
        </w:rPr>
        <w:t xml:space="preserve"> (розчин для </w:t>
      </w:r>
      <w:proofErr w:type="spellStart"/>
      <w:r w:rsidR="007D0267" w:rsidRPr="008D764E">
        <w:rPr>
          <w:rFonts w:ascii="Times New Roman" w:hAnsi="Times New Roman" w:cs="Times New Roman"/>
          <w:sz w:val="24"/>
          <w:szCs w:val="24"/>
        </w:rPr>
        <w:t>інфузій</w:t>
      </w:r>
      <w:proofErr w:type="spellEnd"/>
      <w:r w:rsidR="007D0267" w:rsidRPr="008D764E">
        <w:rPr>
          <w:rFonts w:ascii="Times New Roman" w:hAnsi="Times New Roman" w:cs="Times New Roman"/>
          <w:sz w:val="24"/>
          <w:szCs w:val="24"/>
        </w:rPr>
        <w:t xml:space="preserve"> 5 мг/мл по 100 мл); </w:t>
      </w:r>
      <w:proofErr w:type="spellStart"/>
      <w:r w:rsidR="007D0267" w:rsidRPr="008D764E">
        <w:rPr>
          <w:rFonts w:ascii="Times New Roman" w:hAnsi="Times New Roman" w:cs="Times New Roman"/>
          <w:b/>
          <w:color w:val="000000"/>
          <w:sz w:val="24"/>
          <w:szCs w:val="24"/>
        </w:rPr>
        <w:t>Potassium</w:t>
      </w:r>
      <w:proofErr w:type="spellEnd"/>
      <w:r w:rsidR="007D0267" w:rsidRPr="008D764E">
        <w:rPr>
          <w:rFonts w:ascii="Times New Roman" w:hAnsi="Times New Roman" w:cs="Times New Roman"/>
          <w:b/>
          <w:color w:val="000000"/>
          <w:sz w:val="24"/>
          <w:szCs w:val="24"/>
        </w:rPr>
        <w:t xml:space="preserve"> </w:t>
      </w:r>
      <w:proofErr w:type="spellStart"/>
      <w:r w:rsidR="007D0267" w:rsidRPr="008D764E">
        <w:rPr>
          <w:rFonts w:ascii="Times New Roman" w:hAnsi="Times New Roman" w:cs="Times New Roman"/>
          <w:b/>
          <w:color w:val="000000"/>
          <w:sz w:val="24"/>
          <w:szCs w:val="24"/>
        </w:rPr>
        <w:t>chloride</w:t>
      </w:r>
      <w:proofErr w:type="spellEnd"/>
      <w:r w:rsidR="007D0267" w:rsidRPr="008D764E">
        <w:rPr>
          <w:rFonts w:ascii="Times New Roman" w:hAnsi="Times New Roman" w:cs="Times New Roman"/>
          <w:color w:val="000000"/>
          <w:sz w:val="24"/>
          <w:szCs w:val="24"/>
        </w:rPr>
        <w:t xml:space="preserve"> (концентрат для розчину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75 мг/мл по 20 мл); </w:t>
      </w:r>
      <w:proofErr w:type="spellStart"/>
      <w:r w:rsidR="007D0267" w:rsidRPr="008D764E">
        <w:rPr>
          <w:rFonts w:ascii="Times New Roman" w:hAnsi="Times New Roman" w:cs="Times New Roman"/>
          <w:b/>
          <w:color w:val="000000"/>
          <w:sz w:val="24"/>
          <w:szCs w:val="24"/>
        </w:rPr>
        <w:t>Linezolid</w:t>
      </w:r>
      <w:proofErr w:type="spellEnd"/>
      <w:r w:rsidR="007D0267" w:rsidRPr="008D764E">
        <w:rPr>
          <w:rFonts w:ascii="Times New Roman" w:hAnsi="Times New Roman" w:cs="Times New Roman"/>
          <w:color w:val="000000"/>
          <w:sz w:val="24"/>
          <w:szCs w:val="24"/>
        </w:rPr>
        <w:t xml:space="preserve"> (розчин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2 мг/мл по 300 мл контейнер полімерний); </w:t>
      </w:r>
      <w:proofErr w:type="spellStart"/>
      <w:r w:rsidR="007D0267" w:rsidRPr="008D764E">
        <w:rPr>
          <w:rFonts w:ascii="Times New Roman" w:hAnsi="Times New Roman" w:cs="Times New Roman"/>
          <w:b/>
          <w:color w:val="000000"/>
          <w:sz w:val="24"/>
          <w:szCs w:val="24"/>
        </w:rPr>
        <w:t>Ceftriaxone</w:t>
      </w:r>
      <w:proofErr w:type="spellEnd"/>
      <w:r w:rsidR="007D0267" w:rsidRPr="008D764E">
        <w:rPr>
          <w:rFonts w:ascii="Times New Roman" w:hAnsi="Times New Roman" w:cs="Times New Roman"/>
          <w:color w:val="000000"/>
          <w:sz w:val="24"/>
          <w:szCs w:val="24"/>
        </w:rPr>
        <w:t xml:space="preserve"> (порошок для розчину для ін'єкцій по 1.0 г у флаконі №10); </w:t>
      </w:r>
      <w:proofErr w:type="spellStart"/>
      <w:r w:rsidR="007D0267" w:rsidRPr="008D764E">
        <w:rPr>
          <w:rFonts w:ascii="Times New Roman" w:hAnsi="Times New Roman" w:cs="Times New Roman"/>
          <w:b/>
          <w:color w:val="000000"/>
          <w:sz w:val="24"/>
          <w:szCs w:val="24"/>
        </w:rPr>
        <w:t>Fluconazole</w:t>
      </w:r>
      <w:proofErr w:type="spellEnd"/>
      <w:r w:rsidR="007D0267" w:rsidRPr="008D764E">
        <w:rPr>
          <w:rFonts w:ascii="Times New Roman" w:hAnsi="Times New Roman" w:cs="Times New Roman"/>
          <w:color w:val="000000"/>
          <w:sz w:val="24"/>
          <w:szCs w:val="24"/>
        </w:rPr>
        <w:t xml:space="preserve"> (розчин для </w:t>
      </w:r>
      <w:proofErr w:type="spellStart"/>
      <w:r w:rsidR="007D0267" w:rsidRPr="008D764E">
        <w:rPr>
          <w:rFonts w:ascii="Times New Roman" w:hAnsi="Times New Roman" w:cs="Times New Roman"/>
          <w:color w:val="000000"/>
          <w:sz w:val="24"/>
          <w:szCs w:val="24"/>
        </w:rPr>
        <w:t>інфузій</w:t>
      </w:r>
      <w:proofErr w:type="spellEnd"/>
      <w:r w:rsidR="007D0267" w:rsidRPr="008D764E">
        <w:rPr>
          <w:rFonts w:ascii="Times New Roman" w:hAnsi="Times New Roman" w:cs="Times New Roman"/>
          <w:color w:val="000000"/>
          <w:sz w:val="24"/>
          <w:szCs w:val="24"/>
        </w:rPr>
        <w:t xml:space="preserve"> 2 мг/мл по 100 мл); </w:t>
      </w:r>
      <w:proofErr w:type="spellStart"/>
      <w:r w:rsidR="007D0267" w:rsidRPr="008D764E">
        <w:rPr>
          <w:rFonts w:ascii="Times New Roman" w:hAnsi="Times New Roman" w:cs="Times New Roman"/>
          <w:b/>
          <w:sz w:val="24"/>
          <w:szCs w:val="24"/>
        </w:rPr>
        <w:t>Magnesium</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sulfate</w:t>
      </w:r>
      <w:proofErr w:type="spellEnd"/>
      <w:r w:rsidR="007D0267" w:rsidRPr="008D764E">
        <w:rPr>
          <w:rFonts w:ascii="Times New Roman" w:hAnsi="Times New Roman" w:cs="Times New Roman"/>
          <w:sz w:val="24"/>
          <w:szCs w:val="24"/>
        </w:rPr>
        <w:t xml:space="preserve"> (розчин для ін'єкцій 250 мг/мл по 5мл в ампулі №10); </w:t>
      </w:r>
      <w:proofErr w:type="spellStart"/>
      <w:r w:rsidR="007D0267" w:rsidRPr="008D764E">
        <w:rPr>
          <w:rFonts w:ascii="Times New Roman" w:hAnsi="Times New Roman" w:cs="Times New Roman"/>
          <w:b/>
          <w:sz w:val="24"/>
          <w:szCs w:val="24"/>
        </w:rPr>
        <w:t>Tranexamic</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acid</w:t>
      </w:r>
      <w:proofErr w:type="spellEnd"/>
      <w:r w:rsidR="007D0267" w:rsidRPr="008D764E">
        <w:rPr>
          <w:rFonts w:ascii="Times New Roman" w:hAnsi="Times New Roman" w:cs="Times New Roman"/>
          <w:sz w:val="24"/>
          <w:szCs w:val="24"/>
        </w:rPr>
        <w:t xml:space="preserve"> (розчин для ін'єкцій 100 мг/мл по 5 мл в ампулі №5); </w:t>
      </w:r>
      <w:proofErr w:type="spellStart"/>
      <w:r w:rsidR="007D0267" w:rsidRPr="008D764E">
        <w:rPr>
          <w:rFonts w:ascii="Times New Roman" w:hAnsi="Times New Roman" w:cs="Times New Roman"/>
          <w:b/>
          <w:sz w:val="24"/>
          <w:szCs w:val="24"/>
        </w:rPr>
        <w:t>Theophylline</w:t>
      </w:r>
      <w:proofErr w:type="spellEnd"/>
      <w:r w:rsidR="007D0267" w:rsidRPr="008D764E">
        <w:rPr>
          <w:rFonts w:ascii="Times New Roman" w:hAnsi="Times New Roman" w:cs="Times New Roman"/>
          <w:sz w:val="24"/>
          <w:szCs w:val="24"/>
        </w:rPr>
        <w:t xml:space="preserve"> (розчин для </w:t>
      </w:r>
      <w:proofErr w:type="spellStart"/>
      <w:r w:rsidR="007D0267" w:rsidRPr="008D764E">
        <w:rPr>
          <w:rFonts w:ascii="Times New Roman" w:hAnsi="Times New Roman" w:cs="Times New Roman"/>
          <w:sz w:val="24"/>
          <w:szCs w:val="24"/>
        </w:rPr>
        <w:t>інфузій</w:t>
      </w:r>
      <w:proofErr w:type="spellEnd"/>
      <w:r w:rsidR="007D0267" w:rsidRPr="008D764E">
        <w:rPr>
          <w:rFonts w:ascii="Times New Roman" w:hAnsi="Times New Roman" w:cs="Times New Roman"/>
          <w:sz w:val="24"/>
          <w:szCs w:val="24"/>
        </w:rPr>
        <w:t xml:space="preserve"> 20 мг/мл по 5 мг в ампулах №10); </w:t>
      </w:r>
      <w:proofErr w:type="spellStart"/>
      <w:r w:rsidR="007D0267" w:rsidRPr="008D764E">
        <w:rPr>
          <w:rFonts w:ascii="Times New Roman" w:hAnsi="Times New Roman" w:cs="Times New Roman"/>
          <w:b/>
          <w:sz w:val="24"/>
          <w:szCs w:val="24"/>
        </w:rPr>
        <w:t>Metamizole</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sodium</w:t>
      </w:r>
      <w:proofErr w:type="spellEnd"/>
      <w:r w:rsidR="007D0267" w:rsidRPr="008D764E">
        <w:rPr>
          <w:rFonts w:ascii="Times New Roman" w:hAnsi="Times New Roman" w:cs="Times New Roman"/>
          <w:sz w:val="24"/>
          <w:szCs w:val="24"/>
        </w:rPr>
        <w:t xml:space="preserve"> (розчин для ін'єкцій 500 мг/мл по 2 мл в ампулі №10); </w:t>
      </w:r>
      <w:proofErr w:type="spellStart"/>
      <w:r w:rsidR="007D0267" w:rsidRPr="008D764E">
        <w:rPr>
          <w:rFonts w:ascii="Times New Roman" w:hAnsi="Times New Roman" w:cs="Times New Roman"/>
          <w:b/>
          <w:sz w:val="24"/>
          <w:szCs w:val="24"/>
        </w:rPr>
        <w:t>Moxifloxacin</w:t>
      </w:r>
      <w:proofErr w:type="spellEnd"/>
      <w:r w:rsidR="007D0267" w:rsidRPr="008D764E">
        <w:rPr>
          <w:rFonts w:ascii="Times New Roman" w:hAnsi="Times New Roman" w:cs="Times New Roman"/>
          <w:sz w:val="24"/>
          <w:szCs w:val="24"/>
        </w:rPr>
        <w:t xml:space="preserve"> (концентрат для розчину для </w:t>
      </w:r>
      <w:proofErr w:type="spellStart"/>
      <w:r w:rsidR="007D0267" w:rsidRPr="008D764E">
        <w:rPr>
          <w:rFonts w:ascii="Times New Roman" w:hAnsi="Times New Roman" w:cs="Times New Roman"/>
          <w:sz w:val="24"/>
          <w:szCs w:val="24"/>
        </w:rPr>
        <w:t>нфузій</w:t>
      </w:r>
      <w:proofErr w:type="spellEnd"/>
      <w:r w:rsidR="007D0267" w:rsidRPr="008D764E">
        <w:rPr>
          <w:rFonts w:ascii="Times New Roman" w:hAnsi="Times New Roman" w:cs="Times New Roman"/>
          <w:sz w:val="24"/>
          <w:szCs w:val="24"/>
        </w:rPr>
        <w:t xml:space="preserve"> 400 мг/ 20 мл, по 20 мл у флаконі; по 1 флакону в пачці з картону); </w:t>
      </w:r>
      <w:proofErr w:type="spellStart"/>
      <w:r w:rsidR="007D0267" w:rsidRPr="008D764E">
        <w:rPr>
          <w:rFonts w:ascii="Times New Roman" w:hAnsi="Times New Roman" w:cs="Times New Roman"/>
          <w:b/>
          <w:sz w:val="24"/>
          <w:szCs w:val="24"/>
        </w:rPr>
        <w:t>Sodium</w:t>
      </w:r>
      <w:proofErr w:type="spellEnd"/>
      <w:r w:rsidR="007D0267" w:rsidRPr="008D764E">
        <w:rPr>
          <w:rFonts w:ascii="Times New Roman" w:hAnsi="Times New Roman" w:cs="Times New Roman"/>
          <w:b/>
          <w:sz w:val="24"/>
          <w:szCs w:val="24"/>
        </w:rPr>
        <w:t xml:space="preserve"> </w:t>
      </w:r>
      <w:proofErr w:type="spellStart"/>
      <w:r w:rsidR="007D0267" w:rsidRPr="008D764E">
        <w:rPr>
          <w:rFonts w:ascii="Times New Roman" w:hAnsi="Times New Roman" w:cs="Times New Roman"/>
          <w:b/>
          <w:sz w:val="24"/>
          <w:szCs w:val="24"/>
        </w:rPr>
        <w:t>bicarbonate</w:t>
      </w:r>
      <w:proofErr w:type="spellEnd"/>
      <w:r w:rsidR="007D0267" w:rsidRPr="008D764E">
        <w:rPr>
          <w:rFonts w:ascii="Times New Roman" w:hAnsi="Times New Roman" w:cs="Times New Roman"/>
          <w:sz w:val="24"/>
          <w:szCs w:val="24"/>
        </w:rPr>
        <w:t xml:space="preserve"> (розчин для </w:t>
      </w:r>
      <w:proofErr w:type="spellStart"/>
      <w:r w:rsidR="007D0267" w:rsidRPr="008D764E">
        <w:rPr>
          <w:rFonts w:ascii="Times New Roman" w:hAnsi="Times New Roman" w:cs="Times New Roman"/>
          <w:sz w:val="24"/>
          <w:szCs w:val="24"/>
        </w:rPr>
        <w:t>інфузій</w:t>
      </w:r>
      <w:proofErr w:type="spellEnd"/>
      <w:r w:rsidR="007D0267" w:rsidRPr="008D764E">
        <w:rPr>
          <w:rFonts w:ascii="Times New Roman" w:hAnsi="Times New Roman" w:cs="Times New Roman"/>
          <w:sz w:val="24"/>
          <w:szCs w:val="24"/>
        </w:rPr>
        <w:t xml:space="preserve"> 42 мг/мл по 100 мл); </w:t>
      </w:r>
      <w:proofErr w:type="spellStart"/>
      <w:r w:rsidR="007D0267" w:rsidRPr="008D764E">
        <w:rPr>
          <w:rFonts w:ascii="Times New Roman" w:hAnsi="Times New Roman" w:cs="Times New Roman"/>
          <w:b/>
          <w:sz w:val="24"/>
          <w:szCs w:val="24"/>
        </w:rPr>
        <w:t>Ciprofloxacin</w:t>
      </w:r>
      <w:proofErr w:type="spellEnd"/>
      <w:r w:rsidR="007D0267" w:rsidRPr="008D764E">
        <w:rPr>
          <w:rFonts w:ascii="Times New Roman" w:hAnsi="Times New Roman" w:cs="Times New Roman"/>
          <w:sz w:val="24"/>
          <w:szCs w:val="24"/>
        </w:rPr>
        <w:t xml:space="preserve"> (розчин для </w:t>
      </w:r>
      <w:proofErr w:type="spellStart"/>
      <w:r w:rsidR="007D0267" w:rsidRPr="008D764E">
        <w:rPr>
          <w:rFonts w:ascii="Times New Roman" w:hAnsi="Times New Roman" w:cs="Times New Roman"/>
          <w:sz w:val="24"/>
          <w:szCs w:val="24"/>
        </w:rPr>
        <w:t>інфузій</w:t>
      </w:r>
      <w:proofErr w:type="spellEnd"/>
      <w:r w:rsidR="007D0267" w:rsidRPr="008D764E">
        <w:rPr>
          <w:rFonts w:ascii="Times New Roman" w:hAnsi="Times New Roman" w:cs="Times New Roman"/>
          <w:sz w:val="24"/>
          <w:szCs w:val="24"/>
        </w:rPr>
        <w:t xml:space="preserve"> 2 мг/мл по 100 мл); </w:t>
      </w:r>
      <w:proofErr w:type="spellStart"/>
      <w:r w:rsidR="007D0267" w:rsidRPr="008D764E">
        <w:rPr>
          <w:rFonts w:ascii="Times New Roman" w:hAnsi="Times New Roman" w:cs="Times New Roman"/>
          <w:b/>
          <w:sz w:val="24"/>
          <w:szCs w:val="24"/>
        </w:rPr>
        <w:t>Ceftazidime</w:t>
      </w:r>
      <w:proofErr w:type="spellEnd"/>
      <w:r w:rsidR="007D0267" w:rsidRPr="008D764E">
        <w:rPr>
          <w:rFonts w:ascii="Times New Roman" w:hAnsi="Times New Roman" w:cs="Times New Roman"/>
          <w:sz w:val="24"/>
          <w:szCs w:val="24"/>
        </w:rPr>
        <w:t xml:space="preserve"> (порошок для розчину для ін'єкцій по 1000 мг, №10 </w:t>
      </w:r>
      <w:proofErr w:type="spellStart"/>
      <w:r w:rsidR="007D0267" w:rsidRPr="008D764E">
        <w:rPr>
          <w:rFonts w:ascii="Times New Roman" w:hAnsi="Times New Roman" w:cs="Times New Roman"/>
          <w:sz w:val="24"/>
          <w:szCs w:val="24"/>
        </w:rPr>
        <w:t>фл</w:t>
      </w:r>
      <w:proofErr w:type="spellEnd"/>
      <w:r w:rsidR="007D0267" w:rsidRPr="008D764E">
        <w:rPr>
          <w:rFonts w:ascii="Times New Roman" w:hAnsi="Times New Roman" w:cs="Times New Roman"/>
          <w:sz w:val="24"/>
          <w:szCs w:val="24"/>
        </w:rPr>
        <w:t xml:space="preserve">. у коробці); </w:t>
      </w:r>
      <w:proofErr w:type="spellStart"/>
      <w:r w:rsidR="007D0267" w:rsidRPr="008D764E">
        <w:rPr>
          <w:rFonts w:ascii="Times New Roman" w:hAnsi="Times New Roman" w:cs="Times New Roman"/>
          <w:b/>
          <w:sz w:val="24"/>
          <w:szCs w:val="24"/>
        </w:rPr>
        <w:t>Enoxaparin</w:t>
      </w:r>
      <w:proofErr w:type="spellEnd"/>
      <w:r w:rsidR="007D0267" w:rsidRPr="008D764E">
        <w:rPr>
          <w:rFonts w:ascii="Times New Roman" w:hAnsi="Times New Roman" w:cs="Times New Roman"/>
          <w:sz w:val="24"/>
          <w:szCs w:val="24"/>
        </w:rPr>
        <w:t xml:space="preserve"> (розчин для ін'єкцій, 100 мг (10 000 анти-фактор </w:t>
      </w:r>
      <w:proofErr w:type="spellStart"/>
      <w:r w:rsidR="007D0267" w:rsidRPr="008D764E">
        <w:rPr>
          <w:rFonts w:ascii="Times New Roman" w:hAnsi="Times New Roman" w:cs="Times New Roman"/>
          <w:sz w:val="24"/>
          <w:szCs w:val="24"/>
        </w:rPr>
        <w:t>Ха</w:t>
      </w:r>
      <w:proofErr w:type="spellEnd"/>
      <w:r w:rsidR="007D0267" w:rsidRPr="008D764E">
        <w:rPr>
          <w:rFonts w:ascii="Times New Roman" w:hAnsi="Times New Roman" w:cs="Times New Roman"/>
          <w:sz w:val="24"/>
          <w:szCs w:val="24"/>
        </w:rPr>
        <w:t xml:space="preserve"> МО)/мл; по 0,4 мл (40 мг)  у попередньо наповненому шприці, по 10 шприців</w:t>
      </w:r>
      <w:r w:rsidR="007D0267">
        <w:rPr>
          <w:rFonts w:ascii="Times New Roman" w:hAnsi="Times New Roman" w:cs="Times New Roman"/>
          <w:sz w:val="24"/>
          <w:szCs w:val="24"/>
        </w:rPr>
        <w:t xml:space="preserve">) </w:t>
      </w:r>
    </w:p>
    <w:p w14:paraId="611BA609" w14:textId="2335B953" w:rsidR="00955B90" w:rsidRPr="00955B90" w:rsidRDefault="00612E01" w:rsidP="002D6FFC">
      <w:pPr>
        <w:spacing w:before="240" w:after="0" w:line="240" w:lineRule="auto"/>
        <w:jc w:val="both"/>
        <w:rPr>
          <w:rFonts w:ascii="Times New Roman" w:eastAsia="Times New Roman" w:hAnsi="Times New Roman"/>
          <w:b/>
          <w:sz w:val="32"/>
          <w:szCs w:val="32"/>
          <w:lang w:eastAsia="uk-UA"/>
        </w:rPr>
      </w:pPr>
      <w:r w:rsidRPr="002D6FFC">
        <w:rPr>
          <w:rFonts w:ascii="Times New Roman" w:hAnsi="Times New Roman"/>
          <w:b/>
          <w:color w:val="000000"/>
          <w:sz w:val="24"/>
          <w:szCs w:val="24"/>
        </w:rPr>
        <w:t>код</w:t>
      </w:r>
      <w:r w:rsidRPr="00955B90">
        <w:rPr>
          <w:rFonts w:ascii="Times New Roman" w:hAnsi="Times New Roman"/>
          <w:b/>
          <w:color w:val="000000"/>
          <w:sz w:val="32"/>
          <w:szCs w:val="32"/>
        </w:rPr>
        <w:t xml:space="preserve"> </w:t>
      </w:r>
      <w:r w:rsidR="003C2F6D" w:rsidRPr="00955B90">
        <w:rPr>
          <w:rFonts w:ascii="Times New Roman" w:hAnsi="Times New Roman"/>
          <w:b/>
          <w:color w:val="000000"/>
          <w:sz w:val="32"/>
          <w:szCs w:val="32"/>
        </w:rPr>
        <w:t>ДК 021:2015:</w:t>
      </w:r>
      <w:r w:rsidR="00EB3DDF" w:rsidRPr="00955B90">
        <w:rPr>
          <w:rFonts w:ascii="Times New Roman" w:hAnsi="Times New Roman"/>
          <w:b/>
          <w:color w:val="000000"/>
          <w:sz w:val="32"/>
          <w:szCs w:val="32"/>
        </w:rPr>
        <w:t xml:space="preserve"> </w:t>
      </w:r>
      <w:r w:rsidR="00955B90" w:rsidRPr="00955B90">
        <w:rPr>
          <w:rFonts w:ascii="Times New Roman" w:eastAsia="Times New Roman" w:hAnsi="Times New Roman"/>
          <w:b/>
          <w:sz w:val="32"/>
          <w:szCs w:val="32"/>
          <w:lang w:eastAsia="uk-UA"/>
        </w:rPr>
        <w:t>33600000-6 Фармацевтична продукція</w:t>
      </w:r>
    </w:p>
    <w:p w14:paraId="5408703B" w14:textId="62473726" w:rsidR="00876107" w:rsidRPr="00955B90" w:rsidRDefault="00876107" w:rsidP="00955B90">
      <w:pPr>
        <w:pStyle w:val="aa"/>
        <w:spacing w:before="0" w:beforeAutospacing="0" w:after="0" w:afterAutospacing="0"/>
        <w:jc w:val="center"/>
        <w:rPr>
          <w:b/>
          <w:sz w:val="32"/>
          <w:szCs w:val="32"/>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10FB554" w14:textId="5F13637E" w:rsidR="00A57179" w:rsidRDefault="00B25D05" w:rsidP="00A57179">
      <w:pPr>
        <w:spacing w:before="240" w:after="0" w:line="240" w:lineRule="auto"/>
        <w:rPr>
          <w:rFonts w:ascii="Times New Roman" w:hAnsi="Times New Roman"/>
          <w:b/>
        </w:rPr>
      </w:pPr>
      <w:r>
        <w:rPr>
          <w:rFonts w:ascii="Times New Roman" w:eastAsia="Times New Roman" w:hAnsi="Times New Roman" w:cs="Times New Roman"/>
          <w:color w:val="000000"/>
          <w:sz w:val="24"/>
          <w:szCs w:val="24"/>
        </w:rPr>
        <w:t>   </w:t>
      </w:r>
      <w:bookmarkStart w:id="0" w:name="_heading=h.1fob9te" w:colFirst="0" w:colLast="0"/>
      <w:bookmarkEnd w:id="0"/>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22AC22F8" w14:textId="77777777" w:rsidR="00A57179" w:rsidRPr="003E5185" w:rsidRDefault="00A57179" w:rsidP="003E5185">
      <w:pPr>
        <w:spacing w:before="240" w:after="0" w:line="240" w:lineRule="auto"/>
        <w:jc w:val="center"/>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77777777" w:rsidR="009F6732" w:rsidRPr="002E4E5E" w:rsidRDefault="009F6732" w:rsidP="009F6732">
            <w:pPr>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Pr>
                <w:rFonts w:ascii="Times New Roman" w:hAnsi="Times New Roman"/>
              </w:rPr>
              <w:t>Москаленко Олена Леонідівна</w:t>
            </w:r>
            <w:r w:rsidRPr="00A85012">
              <w:rPr>
                <w:rFonts w:ascii="Times New Roman" w:hAnsi="Times New Roman"/>
              </w:rPr>
              <w:t>.</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7135EEB2"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8" w:history="1">
              <w:r w:rsidRPr="009F6732">
                <w:rPr>
                  <w:rStyle w:val="a7"/>
                  <w:rFonts w:ascii="Times New Roman" w:hAnsi="Times New Roman" w:cs="Times New Roman"/>
                  <w:lang w:val="en-US"/>
                </w:rPr>
                <w:t>vokpl</w:t>
              </w:r>
              <w:r w:rsidRPr="009F6732">
                <w:rPr>
                  <w:rStyle w:val="a7"/>
                  <w:rFonts w:ascii="Times New Roman" w:hAnsi="Times New Roman" w:cs="Times New Roman"/>
                  <w:lang w:val="ru-RU"/>
                </w:rPr>
                <w:t>.</w:t>
              </w:r>
              <w:r w:rsidRPr="009F6732">
                <w:rPr>
                  <w:rStyle w:val="a7"/>
                  <w:rFonts w:ascii="Times New Roman" w:hAnsi="Times New Roman" w:cs="Times New Roman"/>
                  <w:lang w:val="en-US"/>
                </w:rPr>
                <w:t>zakupivli</w:t>
              </w:r>
              <w:r w:rsidRPr="009F6732">
                <w:rPr>
                  <w:rStyle w:val="a7"/>
                  <w:rFonts w:ascii="Times New Roman" w:hAnsi="Times New Roman" w:cs="Times New Roman"/>
                  <w:lang w:val="ru-RU"/>
                </w:rPr>
                <w:t>3@</w:t>
              </w:r>
              <w:r w:rsidRPr="009F6732">
                <w:rPr>
                  <w:rStyle w:val="a7"/>
                  <w:rFonts w:ascii="Times New Roman" w:hAnsi="Times New Roman" w:cs="Times New Roman"/>
                  <w:lang w:val="en-US"/>
                </w:rPr>
                <w:t>gmail</w:t>
              </w:r>
              <w:r w:rsidRPr="009F6732">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500B3E72" w14:textId="2E3559BC" w:rsidR="00536285" w:rsidRPr="00536285" w:rsidRDefault="00536285" w:rsidP="00536285">
            <w:pPr>
              <w:pStyle w:val="af1"/>
              <w:spacing w:line="240" w:lineRule="atLeast"/>
              <w:jc w:val="both"/>
              <w:rPr>
                <w:rFonts w:ascii="Times New Roman" w:eastAsia="Times New Roman" w:hAnsi="Times New Roman"/>
                <w:b/>
                <w:sz w:val="24"/>
                <w:szCs w:val="24"/>
                <w:lang w:eastAsia="uk-UA"/>
              </w:rPr>
            </w:pPr>
            <w:r w:rsidRPr="00536285">
              <w:rPr>
                <w:rFonts w:ascii="Times New Roman" w:hAnsi="Times New Roman"/>
                <w:b/>
                <w:bCs/>
                <w:sz w:val="24"/>
                <w:szCs w:val="24"/>
              </w:rPr>
              <w:t xml:space="preserve">Лікарські засоби: </w:t>
            </w:r>
            <w:proofErr w:type="spellStart"/>
            <w:r w:rsidR="00B72965" w:rsidRPr="008D764E">
              <w:rPr>
                <w:rFonts w:ascii="Times New Roman" w:hAnsi="Times New Roman"/>
                <w:b/>
                <w:sz w:val="24"/>
                <w:szCs w:val="24"/>
              </w:rPr>
              <w:t>Sodium</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chloride</w:t>
            </w:r>
            <w:proofErr w:type="spellEnd"/>
            <w:r w:rsidR="00B72965" w:rsidRPr="008D764E">
              <w:rPr>
                <w:rFonts w:ascii="Times New Roman" w:hAnsi="Times New Roman"/>
                <w:sz w:val="24"/>
                <w:szCs w:val="24"/>
              </w:rPr>
              <w:t xml:space="preserve"> (</w:t>
            </w:r>
            <w:r w:rsidR="00B72965" w:rsidRPr="008D764E">
              <w:rPr>
                <w:rFonts w:ascii="Times New Roman" w:hAnsi="Times New Roman"/>
                <w:color w:val="000000"/>
                <w:sz w:val="24"/>
                <w:szCs w:val="24"/>
              </w:rPr>
              <w:t xml:space="preserve">розчин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9 мг/мл по 100 мл); </w:t>
            </w:r>
            <w:proofErr w:type="spellStart"/>
            <w:r w:rsidR="00B72965" w:rsidRPr="008D764E">
              <w:rPr>
                <w:rFonts w:ascii="Times New Roman" w:hAnsi="Times New Roman"/>
                <w:b/>
                <w:sz w:val="24"/>
                <w:szCs w:val="24"/>
              </w:rPr>
              <w:t>Sodium</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chloride</w:t>
            </w:r>
            <w:proofErr w:type="spellEnd"/>
            <w:r w:rsidR="00B72965" w:rsidRPr="008D764E">
              <w:rPr>
                <w:rFonts w:ascii="Times New Roman" w:hAnsi="Times New Roman"/>
                <w:sz w:val="24"/>
                <w:szCs w:val="24"/>
              </w:rPr>
              <w:t xml:space="preserve"> (</w:t>
            </w:r>
            <w:r w:rsidR="00B72965" w:rsidRPr="008D764E">
              <w:rPr>
                <w:rFonts w:ascii="Times New Roman" w:hAnsi="Times New Roman"/>
                <w:color w:val="000000"/>
                <w:sz w:val="24"/>
                <w:szCs w:val="24"/>
              </w:rPr>
              <w:t xml:space="preserve">розчин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9 мг/мл по 200 мл); </w:t>
            </w:r>
            <w:proofErr w:type="spellStart"/>
            <w:r w:rsidR="00B72965" w:rsidRPr="008D764E">
              <w:rPr>
                <w:rFonts w:ascii="Times New Roman" w:hAnsi="Times New Roman"/>
                <w:b/>
                <w:sz w:val="24"/>
                <w:szCs w:val="24"/>
              </w:rPr>
              <w:t>Sodium</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chloride</w:t>
            </w:r>
            <w:proofErr w:type="spellEnd"/>
            <w:r w:rsidR="00B72965" w:rsidRPr="008D764E">
              <w:rPr>
                <w:rFonts w:ascii="Times New Roman" w:hAnsi="Times New Roman"/>
                <w:sz w:val="24"/>
                <w:szCs w:val="24"/>
              </w:rPr>
              <w:t xml:space="preserve"> (</w:t>
            </w:r>
            <w:r w:rsidR="00B72965" w:rsidRPr="008D764E">
              <w:rPr>
                <w:rFonts w:ascii="Times New Roman" w:hAnsi="Times New Roman"/>
                <w:color w:val="000000"/>
                <w:sz w:val="24"/>
                <w:szCs w:val="24"/>
              </w:rPr>
              <w:t xml:space="preserve">розчин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9 мг/мл по 400 мл); </w:t>
            </w:r>
            <w:proofErr w:type="spellStart"/>
            <w:r w:rsidR="00B72965" w:rsidRPr="008D764E">
              <w:rPr>
                <w:rFonts w:ascii="Times New Roman" w:hAnsi="Times New Roman"/>
                <w:b/>
                <w:sz w:val="24"/>
                <w:szCs w:val="24"/>
              </w:rPr>
              <w:t>Cefepime</w:t>
            </w:r>
            <w:proofErr w:type="spellEnd"/>
            <w:r w:rsidR="00B72965" w:rsidRPr="008D764E">
              <w:rPr>
                <w:rFonts w:ascii="Times New Roman" w:hAnsi="Times New Roman"/>
                <w:sz w:val="24"/>
                <w:szCs w:val="24"/>
              </w:rPr>
              <w:t xml:space="preserve"> (порошок для розчину для ін'єкцій по 1000 мг у флаконі №10); </w:t>
            </w:r>
            <w:proofErr w:type="spellStart"/>
            <w:r w:rsidR="00B72965" w:rsidRPr="008D764E">
              <w:rPr>
                <w:rFonts w:ascii="Times New Roman" w:hAnsi="Times New Roman"/>
                <w:b/>
                <w:sz w:val="24"/>
                <w:szCs w:val="24"/>
              </w:rPr>
              <w:t>Levofloxacin</w:t>
            </w:r>
            <w:proofErr w:type="spellEnd"/>
            <w:r w:rsidR="00B72965" w:rsidRPr="008D764E">
              <w:rPr>
                <w:rFonts w:ascii="Times New Roman" w:hAnsi="Times New Roman"/>
                <w:sz w:val="24"/>
                <w:szCs w:val="24"/>
              </w:rPr>
              <w:t xml:space="preserve"> (розчин для </w:t>
            </w:r>
            <w:proofErr w:type="spellStart"/>
            <w:r w:rsidR="00B72965" w:rsidRPr="008D764E">
              <w:rPr>
                <w:rFonts w:ascii="Times New Roman" w:hAnsi="Times New Roman"/>
                <w:sz w:val="24"/>
                <w:szCs w:val="24"/>
              </w:rPr>
              <w:t>інфузій</w:t>
            </w:r>
            <w:proofErr w:type="spellEnd"/>
            <w:r w:rsidR="00B72965" w:rsidRPr="008D764E">
              <w:rPr>
                <w:rFonts w:ascii="Times New Roman" w:hAnsi="Times New Roman"/>
                <w:sz w:val="24"/>
                <w:szCs w:val="24"/>
              </w:rPr>
              <w:t xml:space="preserve"> 5 мг/мл по 100 мл); </w:t>
            </w:r>
            <w:proofErr w:type="spellStart"/>
            <w:r w:rsidR="00B72965" w:rsidRPr="008D764E">
              <w:rPr>
                <w:rFonts w:ascii="Times New Roman" w:hAnsi="Times New Roman"/>
                <w:b/>
                <w:sz w:val="24"/>
                <w:szCs w:val="24"/>
              </w:rPr>
              <w:t>Paracetamol</w:t>
            </w:r>
            <w:proofErr w:type="spellEnd"/>
            <w:r w:rsidR="00B72965" w:rsidRPr="008D764E">
              <w:rPr>
                <w:rFonts w:ascii="Times New Roman" w:hAnsi="Times New Roman"/>
                <w:sz w:val="24"/>
                <w:szCs w:val="24"/>
              </w:rPr>
              <w:t xml:space="preserve"> (</w:t>
            </w:r>
            <w:r w:rsidR="00B72965" w:rsidRPr="008D764E">
              <w:rPr>
                <w:rFonts w:ascii="Times New Roman" w:hAnsi="Times New Roman"/>
                <w:color w:val="000000"/>
                <w:sz w:val="24"/>
                <w:szCs w:val="24"/>
              </w:rPr>
              <w:t xml:space="preserve">розчин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1000 мг/100 мл); </w:t>
            </w:r>
            <w:proofErr w:type="spellStart"/>
            <w:r w:rsidR="00B72965" w:rsidRPr="008D764E">
              <w:rPr>
                <w:rFonts w:ascii="Times New Roman" w:hAnsi="Times New Roman"/>
                <w:b/>
                <w:sz w:val="24"/>
                <w:szCs w:val="24"/>
              </w:rPr>
              <w:t>Glucose</w:t>
            </w:r>
            <w:proofErr w:type="spellEnd"/>
            <w:r w:rsidR="00B72965" w:rsidRPr="008D764E">
              <w:rPr>
                <w:rFonts w:ascii="Times New Roman" w:hAnsi="Times New Roman"/>
                <w:sz w:val="24"/>
                <w:szCs w:val="24"/>
              </w:rPr>
              <w:t xml:space="preserve"> (розчин для </w:t>
            </w:r>
            <w:proofErr w:type="spellStart"/>
            <w:r w:rsidR="00B72965" w:rsidRPr="008D764E">
              <w:rPr>
                <w:rFonts w:ascii="Times New Roman" w:hAnsi="Times New Roman"/>
                <w:sz w:val="24"/>
                <w:szCs w:val="24"/>
              </w:rPr>
              <w:t>інфузій</w:t>
            </w:r>
            <w:proofErr w:type="spellEnd"/>
            <w:r w:rsidR="00B72965" w:rsidRPr="008D764E">
              <w:rPr>
                <w:rFonts w:ascii="Times New Roman" w:hAnsi="Times New Roman"/>
                <w:sz w:val="24"/>
                <w:szCs w:val="24"/>
              </w:rPr>
              <w:t xml:space="preserve"> 50 мг/мл по 200 мл); </w:t>
            </w:r>
            <w:proofErr w:type="spellStart"/>
            <w:r w:rsidR="00B72965" w:rsidRPr="008D764E">
              <w:rPr>
                <w:rFonts w:ascii="Times New Roman" w:hAnsi="Times New Roman"/>
                <w:b/>
                <w:sz w:val="24"/>
                <w:szCs w:val="24"/>
              </w:rPr>
              <w:t>Metronidazole</w:t>
            </w:r>
            <w:proofErr w:type="spellEnd"/>
            <w:r w:rsidR="00B72965" w:rsidRPr="008D764E">
              <w:rPr>
                <w:rFonts w:ascii="Times New Roman" w:hAnsi="Times New Roman"/>
                <w:sz w:val="24"/>
                <w:szCs w:val="24"/>
              </w:rPr>
              <w:t xml:space="preserve"> (розчин для </w:t>
            </w:r>
            <w:proofErr w:type="spellStart"/>
            <w:r w:rsidR="00B72965" w:rsidRPr="008D764E">
              <w:rPr>
                <w:rFonts w:ascii="Times New Roman" w:hAnsi="Times New Roman"/>
                <w:sz w:val="24"/>
                <w:szCs w:val="24"/>
              </w:rPr>
              <w:t>інфузій</w:t>
            </w:r>
            <w:proofErr w:type="spellEnd"/>
            <w:r w:rsidR="00B72965" w:rsidRPr="008D764E">
              <w:rPr>
                <w:rFonts w:ascii="Times New Roman" w:hAnsi="Times New Roman"/>
                <w:sz w:val="24"/>
                <w:szCs w:val="24"/>
              </w:rPr>
              <w:t xml:space="preserve"> 5 мг/мл по 100 мл); </w:t>
            </w:r>
            <w:proofErr w:type="spellStart"/>
            <w:r w:rsidR="00B72965" w:rsidRPr="008D764E">
              <w:rPr>
                <w:rFonts w:ascii="Times New Roman" w:hAnsi="Times New Roman"/>
                <w:b/>
                <w:color w:val="000000"/>
                <w:sz w:val="24"/>
                <w:szCs w:val="24"/>
              </w:rPr>
              <w:t>Potassium</w:t>
            </w:r>
            <w:proofErr w:type="spellEnd"/>
            <w:r w:rsidR="00B72965" w:rsidRPr="008D764E">
              <w:rPr>
                <w:rFonts w:ascii="Times New Roman" w:hAnsi="Times New Roman"/>
                <w:b/>
                <w:color w:val="000000"/>
                <w:sz w:val="24"/>
                <w:szCs w:val="24"/>
              </w:rPr>
              <w:t xml:space="preserve"> </w:t>
            </w:r>
            <w:proofErr w:type="spellStart"/>
            <w:r w:rsidR="00B72965" w:rsidRPr="008D764E">
              <w:rPr>
                <w:rFonts w:ascii="Times New Roman" w:hAnsi="Times New Roman"/>
                <w:b/>
                <w:color w:val="000000"/>
                <w:sz w:val="24"/>
                <w:szCs w:val="24"/>
              </w:rPr>
              <w:t>chloride</w:t>
            </w:r>
            <w:proofErr w:type="spellEnd"/>
            <w:r w:rsidR="00B72965" w:rsidRPr="008D764E">
              <w:rPr>
                <w:rFonts w:ascii="Times New Roman" w:hAnsi="Times New Roman"/>
                <w:color w:val="000000"/>
                <w:sz w:val="24"/>
                <w:szCs w:val="24"/>
              </w:rPr>
              <w:t xml:space="preserve"> (концентрат для розчину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75 мг/мл по 20 мл); </w:t>
            </w:r>
            <w:proofErr w:type="spellStart"/>
            <w:r w:rsidR="00B72965" w:rsidRPr="008D764E">
              <w:rPr>
                <w:rFonts w:ascii="Times New Roman" w:hAnsi="Times New Roman"/>
                <w:b/>
                <w:color w:val="000000"/>
                <w:sz w:val="24"/>
                <w:szCs w:val="24"/>
              </w:rPr>
              <w:t>Linezolid</w:t>
            </w:r>
            <w:proofErr w:type="spellEnd"/>
            <w:r w:rsidR="00B72965" w:rsidRPr="008D764E">
              <w:rPr>
                <w:rFonts w:ascii="Times New Roman" w:hAnsi="Times New Roman"/>
                <w:color w:val="000000"/>
                <w:sz w:val="24"/>
                <w:szCs w:val="24"/>
              </w:rPr>
              <w:t xml:space="preserve"> (розчин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2 мг/мл по 300 мл контейнер полімерний); </w:t>
            </w:r>
            <w:proofErr w:type="spellStart"/>
            <w:r w:rsidR="00B72965" w:rsidRPr="008D764E">
              <w:rPr>
                <w:rFonts w:ascii="Times New Roman" w:hAnsi="Times New Roman"/>
                <w:b/>
                <w:color w:val="000000"/>
                <w:sz w:val="24"/>
                <w:szCs w:val="24"/>
              </w:rPr>
              <w:t>Ceftriaxone</w:t>
            </w:r>
            <w:proofErr w:type="spellEnd"/>
            <w:r w:rsidR="00B72965" w:rsidRPr="008D764E">
              <w:rPr>
                <w:rFonts w:ascii="Times New Roman" w:hAnsi="Times New Roman"/>
                <w:color w:val="000000"/>
                <w:sz w:val="24"/>
                <w:szCs w:val="24"/>
              </w:rPr>
              <w:t xml:space="preserve"> (порошок для розчину для ін'єкцій по 1.0 г у флаконі №10); </w:t>
            </w:r>
            <w:proofErr w:type="spellStart"/>
            <w:r w:rsidR="00B72965" w:rsidRPr="008D764E">
              <w:rPr>
                <w:rFonts w:ascii="Times New Roman" w:hAnsi="Times New Roman"/>
                <w:b/>
                <w:color w:val="000000"/>
                <w:sz w:val="24"/>
                <w:szCs w:val="24"/>
              </w:rPr>
              <w:t>Fluconazole</w:t>
            </w:r>
            <w:proofErr w:type="spellEnd"/>
            <w:r w:rsidR="00B72965" w:rsidRPr="008D764E">
              <w:rPr>
                <w:rFonts w:ascii="Times New Roman" w:hAnsi="Times New Roman"/>
                <w:color w:val="000000"/>
                <w:sz w:val="24"/>
                <w:szCs w:val="24"/>
              </w:rPr>
              <w:t xml:space="preserve"> (розчин для </w:t>
            </w:r>
            <w:proofErr w:type="spellStart"/>
            <w:r w:rsidR="00B72965" w:rsidRPr="008D764E">
              <w:rPr>
                <w:rFonts w:ascii="Times New Roman" w:hAnsi="Times New Roman"/>
                <w:color w:val="000000"/>
                <w:sz w:val="24"/>
                <w:szCs w:val="24"/>
              </w:rPr>
              <w:t>інфузій</w:t>
            </w:r>
            <w:proofErr w:type="spellEnd"/>
            <w:r w:rsidR="00B72965" w:rsidRPr="008D764E">
              <w:rPr>
                <w:rFonts w:ascii="Times New Roman" w:hAnsi="Times New Roman"/>
                <w:color w:val="000000"/>
                <w:sz w:val="24"/>
                <w:szCs w:val="24"/>
              </w:rPr>
              <w:t xml:space="preserve"> 2 мг/мл по 100 мл); </w:t>
            </w:r>
            <w:proofErr w:type="spellStart"/>
            <w:r w:rsidR="00B72965" w:rsidRPr="008D764E">
              <w:rPr>
                <w:rFonts w:ascii="Times New Roman" w:hAnsi="Times New Roman"/>
                <w:b/>
                <w:sz w:val="24"/>
                <w:szCs w:val="24"/>
              </w:rPr>
              <w:t>Magnesium</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sulfate</w:t>
            </w:r>
            <w:proofErr w:type="spellEnd"/>
            <w:r w:rsidR="00B72965" w:rsidRPr="008D764E">
              <w:rPr>
                <w:rFonts w:ascii="Times New Roman" w:hAnsi="Times New Roman"/>
                <w:sz w:val="24"/>
                <w:szCs w:val="24"/>
              </w:rPr>
              <w:t xml:space="preserve"> (розчин для ін'єкцій 250 мг/мл по 5мл в ампулі №10); </w:t>
            </w:r>
            <w:proofErr w:type="spellStart"/>
            <w:r w:rsidR="00B72965" w:rsidRPr="008D764E">
              <w:rPr>
                <w:rFonts w:ascii="Times New Roman" w:hAnsi="Times New Roman"/>
                <w:b/>
                <w:sz w:val="24"/>
                <w:szCs w:val="24"/>
              </w:rPr>
              <w:t>Tranexamic</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acid</w:t>
            </w:r>
            <w:proofErr w:type="spellEnd"/>
            <w:r w:rsidR="00B72965" w:rsidRPr="008D764E">
              <w:rPr>
                <w:rFonts w:ascii="Times New Roman" w:hAnsi="Times New Roman"/>
                <w:sz w:val="24"/>
                <w:szCs w:val="24"/>
              </w:rPr>
              <w:t xml:space="preserve"> (розчин для ін'єкцій 100 мг/мл по 5 мл в ампулі №5); </w:t>
            </w:r>
            <w:proofErr w:type="spellStart"/>
            <w:r w:rsidR="00B72965" w:rsidRPr="008D764E">
              <w:rPr>
                <w:rFonts w:ascii="Times New Roman" w:hAnsi="Times New Roman"/>
                <w:b/>
                <w:sz w:val="24"/>
                <w:szCs w:val="24"/>
              </w:rPr>
              <w:t>Theophylline</w:t>
            </w:r>
            <w:proofErr w:type="spellEnd"/>
            <w:r w:rsidR="00B72965" w:rsidRPr="008D764E">
              <w:rPr>
                <w:rFonts w:ascii="Times New Roman" w:hAnsi="Times New Roman"/>
                <w:sz w:val="24"/>
                <w:szCs w:val="24"/>
              </w:rPr>
              <w:t xml:space="preserve"> (розчин для </w:t>
            </w:r>
            <w:proofErr w:type="spellStart"/>
            <w:r w:rsidR="00B72965" w:rsidRPr="008D764E">
              <w:rPr>
                <w:rFonts w:ascii="Times New Roman" w:hAnsi="Times New Roman"/>
                <w:sz w:val="24"/>
                <w:szCs w:val="24"/>
              </w:rPr>
              <w:t>інфузій</w:t>
            </w:r>
            <w:proofErr w:type="spellEnd"/>
            <w:r w:rsidR="00B72965" w:rsidRPr="008D764E">
              <w:rPr>
                <w:rFonts w:ascii="Times New Roman" w:hAnsi="Times New Roman"/>
                <w:sz w:val="24"/>
                <w:szCs w:val="24"/>
              </w:rPr>
              <w:t xml:space="preserve"> 20 мг/мл по 5 мг в ампулах №10); </w:t>
            </w:r>
            <w:proofErr w:type="spellStart"/>
            <w:r w:rsidR="00B72965" w:rsidRPr="008D764E">
              <w:rPr>
                <w:rFonts w:ascii="Times New Roman" w:hAnsi="Times New Roman"/>
                <w:b/>
                <w:sz w:val="24"/>
                <w:szCs w:val="24"/>
              </w:rPr>
              <w:t>Metamizole</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sodium</w:t>
            </w:r>
            <w:proofErr w:type="spellEnd"/>
            <w:r w:rsidR="00B72965" w:rsidRPr="008D764E">
              <w:rPr>
                <w:rFonts w:ascii="Times New Roman" w:hAnsi="Times New Roman"/>
                <w:sz w:val="24"/>
                <w:szCs w:val="24"/>
              </w:rPr>
              <w:t xml:space="preserve"> (розчин для ін'єкцій 500 мг/мл по 2 мл в ампулі №10); </w:t>
            </w:r>
            <w:proofErr w:type="spellStart"/>
            <w:r w:rsidR="00B72965" w:rsidRPr="008D764E">
              <w:rPr>
                <w:rFonts w:ascii="Times New Roman" w:hAnsi="Times New Roman"/>
                <w:b/>
                <w:sz w:val="24"/>
                <w:szCs w:val="24"/>
              </w:rPr>
              <w:t>Moxifloxacin</w:t>
            </w:r>
            <w:proofErr w:type="spellEnd"/>
            <w:r w:rsidR="00B72965" w:rsidRPr="008D764E">
              <w:rPr>
                <w:rFonts w:ascii="Times New Roman" w:hAnsi="Times New Roman"/>
                <w:sz w:val="24"/>
                <w:szCs w:val="24"/>
              </w:rPr>
              <w:t xml:space="preserve"> (концентрат для розчину для </w:t>
            </w:r>
            <w:proofErr w:type="spellStart"/>
            <w:r w:rsidR="00B72965" w:rsidRPr="008D764E">
              <w:rPr>
                <w:rFonts w:ascii="Times New Roman" w:hAnsi="Times New Roman"/>
                <w:sz w:val="24"/>
                <w:szCs w:val="24"/>
              </w:rPr>
              <w:t>нфузій</w:t>
            </w:r>
            <w:proofErr w:type="spellEnd"/>
            <w:r w:rsidR="00B72965" w:rsidRPr="008D764E">
              <w:rPr>
                <w:rFonts w:ascii="Times New Roman" w:hAnsi="Times New Roman"/>
                <w:sz w:val="24"/>
                <w:szCs w:val="24"/>
              </w:rPr>
              <w:t xml:space="preserve"> 400 мг/ 20 мл, по 20 мл у флаконі; по 1 </w:t>
            </w:r>
            <w:r w:rsidR="00B72965" w:rsidRPr="008D764E">
              <w:rPr>
                <w:rFonts w:ascii="Times New Roman" w:hAnsi="Times New Roman"/>
                <w:sz w:val="24"/>
                <w:szCs w:val="24"/>
              </w:rPr>
              <w:lastRenderedPageBreak/>
              <w:t xml:space="preserve">флакону в пачці з картону); </w:t>
            </w:r>
            <w:proofErr w:type="spellStart"/>
            <w:r w:rsidR="00B72965" w:rsidRPr="008D764E">
              <w:rPr>
                <w:rFonts w:ascii="Times New Roman" w:hAnsi="Times New Roman"/>
                <w:b/>
                <w:sz w:val="24"/>
                <w:szCs w:val="24"/>
              </w:rPr>
              <w:t>Sodium</w:t>
            </w:r>
            <w:proofErr w:type="spellEnd"/>
            <w:r w:rsidR="00B72965" w:rsidRPr="008D764E">
              <w:rPr>
                <w:rFonts w:ascii="Times New Roman" w:hAnsi="Times New Roman"/>
                <w:b/>
                <w:sz w:val="24"/>
                <w:szCs w:val="24"/>
              </w:rPr>
              <w:t xml:space="preserve"> </w:t>
            </w:r>
            <w:proofErr w:type="spellStart"/>
            <w:r w:rsidR="00B72965" w:rsidRPr="008D764E">
              <w:rPr>
                <w:rFonts w:ascii="Times New Roman" w:hAnsi="Times New Roman"/>
                <w:b/>
                <w:sz w:val="24"/>
                <w:szCs w:val="24"/>
              </w:rPr>
              <w:t>bicarbonate</w:t>
            </w:r>
            <w:proofErr w:type="spellEnd"/>
            <w:r w:rsidR="00B72965" w:rsidRPr="008D764E">
              <w:rPr>
                <w:rFonts w:ascii="Times New Roman" w:hAnsi="Times New Roman"/>
                <w:sz w:val="24"/>
                <w:szCs w:val="24"/>
              </w:rPr>
              <w:t xml:space="preserve"> (розчин для </w:t>
            </w:r>
            <w:proofErr w:type="spellStart"/>
            <w:r w:rsidR="00B72965" w:rsidRPr="008D764E">
              <w:rPr>
                <w:rFonts w:ascii="Times New Roman" w:hAnsi="Times New Roman"/>
                <w:sz w:val="24"/>
                <w:szCs w:val="24"/>
              </w:rPr>
              <w:t>інфузій</w:t>
            </w:r>
            <w:proofErr w:type="spellEnd"/>
            <w:r w:rsidR="00B72965" w:rsidRPr="008D764E">
              <w:rPr>
                <w:rFonts w:ascii="Times New Roman" w:hAnsi="Times New Roman"/>
                <w:sz w:val="24"/>
                <w:szCs w:val="24"/>
              </w:rPr>
              <w:t xml:space="preserve"> 42 мг/мл по 100 мл); </w:t>
            </w:r>
            <w:proofErr w:type="spellStart"/>
            <w:r w:rsidR="00B72965" w:rsidRPr="008D764E">
              <w:rPr>
                <w:rFonts w:ascii="Times New Roman" w:hAnsi="Times New Roman"/>
                <w:b/>
                <w:sz w:val="24"/>
                <w:szCs w:val="24"/>
              </w:rPr>
              <w:t>Ciprofloxacin</w:t>
            </w:r>
            <w:proofErr w:type="spellEnd"/>
            <w:r w:rsidR="00B72965" w:rsidRPr="008D764E">
              <w:rPr>
                <w:rFonts w:ascii="Times New Roman" w:hAnsi="Times New Roman"/>
                <w:sz w:val="24"/>
                <w:szCs w:val="24"/>
              </w:rPr>
              <w:t xml:space="preserve"> (розчин для </w:t>
            </w:r>
            <w:proofErr w:type="spellStart"/>
            <w:r w:rsidR="00B72965" w:rsidRPr="008D764E">
              <w:rPr>
                <w:rFonts w:ascii="Times New Roman" w:hAnsi="Times New Roman"/>
                <w:sz w:val="24"/>
                <w:szCs w:val="24"/>
              </w:rPr>
              <w:t>інфузій</w:t>
            </w:r>
            <w:proofErr w:type="spellEnd"/>
            <w:r w:rsidR="00B72965" w:rsidRPr="008D764E">
              <w:rPr>
                <w:rFonts w:ascii="Times New Roman" w:hAnsi="Times New Roman"/>
                <w:sz w:val="24"/>
                <w:szCs w:val="24"/>
              </w:rPr>
              <w:t xml:space="preserve"> 2 мг/мл по 100 мл); </w:t>
            </w:r>
            <w:proofErr w:type="spellStart"/>
            <w:r w:rsidR="00B72965" w:rsidRPr="008D764E">
              <w:rPr>
                <w:rFonts w:ascii="Times New Roman" w:hAnsi="Times New Roman"/>
                <w:b/>
                <w:sz w:val="24"/>
                <w:szCs w:val="24"/>
              </w:rPr>
              <w:t>Ceftazidime</w:t>
            </w:r>
            <w:proofErr w:type="spellEnd"/>
            <w:r w:rsidR="00B72965" w:rsidRPr="008D764E">
              <w:rPr>
                <w:rFonts w:ascii="Times New Roman" w:hAnsi="Times New Roman"/>
                <w:sz w:val="24"/>
                <w:szCs w:val="24"/>
              </w:rPr>
              <w:t xml:space="preserve"> (порошок для розчину для ін'єкцій по 1000 мг, №10 </w:t>
            </w:r>
            <w:proofErr w:type="spellStart"/>
            <w:r w:rsidR="00B72965" w:rsidRPr="008D764E">
              <w:rPr>
                <w:rFonts w:ascii="Times New Roman" w:hAnsi="Times New Roman"/>
                <w:sz w:val="24"/>
                <w:szCs w:val="24"/>
              </w:rPr>
              <w:t>фл</w:t>
            </w:r>
            <w:proofErr w:type="spellEnd"/>
            <w:r w:rsidR="00B72965" w:rsidRPr="008D764E">
              <w:rPr>
                <w:rFonts w:ascii="Times New Roman" w:hAnsi="Times New Roman"/>
                <w:sz w:val="24"/>
                <w:szCs w:val="24"/>
              </w:rPr>
              <w:t xml:space="preserve">. у коробці); </w:t>
            </w:r>
            <w:proofErr w:type="spellStart"/>
            <w:r w:rsidR="00B72965" w:rsidRPr="008D764E">
              <w:rPr>
                <w:rFonts w:ascii="Times New Roman" w:hAnsi="Times New Roman"/>
                <w:b/>
                <w:sz w:val="24"/>
                <w:szCs w:val="24"/>
              </w:rPr>
              <w:t>Enoxaparin</w:t>
            </w:r>
            <w:proofErr w:type="spellEnd"/>
            <w:r w:rsidR="00B72965" w:rsidRPr="008D764E">
              <w:rPr>
                <w:rFonts w:ascii="Times New Roman" w:hAnsi="Times New Roman"/>
                <w:sz w:val="24"/>
                <w:szCs w:val="24"/>
              </w:rPr>
              <w:t xml:space="preserve"> (розчин для ін'єкцій, 100 мг (10 000 анти-фактор </w:t>
            </w:r>
            <w:proofErr w:type="spellStart"/>
            <w:r w:rsidR="00B72965" w:rsidRPr="008D764E">
              <w:rPr>
                <w:rFonts w:ascii="Times New Roman" w:hAnsi="Times New Roman"/>
                <w:sz w:val="24"/>
                <w:szCs w:val="24"/>
              </w:rPr>
              <w:t>Ха</w:t>
            </w:r>
            <w:proofErr w:type="spellEnd"/>
            <w:r w:rsidR="00B72965" w:rsidRPr="008D764E">
              <w:rPr>
                <w:rFonts w:ascii="Times New Roman" w:hAnsi="Times New Roman"/>
                <w:sz w:val="24"/>
                <w:szCs w:val="24"/>
              </w:rPr>
              <w:t xml:space="preserve"> МО)/мл; по 0,4 мл (40 мг)  у попередньо наповненому шприці, по 10 шприців</w:t>
            </w:r>
            <w:r w:rsidR="005B6292" w:rsidRPr="00C033EF">
              <w:rPr>
                <w:rFonts w:ascii="Times New Roman" w:hAnsi="Times New Roman"/>
                <w:color w:val="000000"/>
              </w:rPr>
              <w:t>)</w:t>
            </w:r>
            <w:r w:rsidR="005B6292">
              <w:rPr>
                <w:rFonts w:ascii="Times New Roman" w:hAnsi="Times New Roman"/>
                <w:color w:val="000000"/>
              </w:rPr>
              <w:t>,</w:t>
            </w:r>
            <w:r w:rsidR="005B6292">
              <w:rPr>
                <w:rFonts w:ascii="Times New Roman" w:hAnsi="Times New Roman"/>
              </w:rPr>
              <w:t xml:space="preserve"> </w:t>
            </w:r>
            <w:r w:rsidRPr="00536285">
              <w:rPr>
                <w:rFonts w:ascii="Times New Roman" w:hAnsi="Times New Roman"/>
                <w:b/>
                <w:color w:val="000000"/>
                <w:sz w:val="24"/>
                <w:szCs w:val="24"/>
              </w:rPr>
              <w:t xml:space="preserve">код ДК 021:2015: </w:t>
            </w:r>
            <w:r w:rsidRPr="00536285">
              <w:rPr>
                <w:rFonts w:ascii="Times New Roman" w:eastAsia="Times New Roman" w:hAnsi="Times New Roman"/>
                <w:b/>
                <w:sz w:val="24"/>
                <w:szCs w:val="24"/>
                <w:lang w:eastAsia="uk-UA"/>
              </w:rPr>
              <w:t>33600000-6 Фармацевтична продукція</w:t>
            </w: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13FE394F" w:rsidR="002A0322" w:rsidRPr="00491EBA" w:rsidRDefault="00DB33CA" w:rsidP="0066669A">
            <w:pPr>
              <w:widowControl w:val="0"/>
              <w:rPr>
                <w:rFonts w:ascii="Times New Roman" w:eastAsia="Times New Roman" w:hAnsi="Times New Roman" w:cs="Times New Roman"/>
                <w:sz w:val="24"/>
                <w:szCs w:val="24"/>
              </w:rPr>
            </w:pPr>
            <w:r w:rsidRPr="00491EBA">
              <w:rPr>
                <w:rFonts w:ascii="Times New Roman" w:hAnsi="Times New Roman"/>
              </w:rPr>
              <w:t xml:space="preserve">до </w:t>
            </w:r>
            <w:r w:rsidR="00404F12">
              <w:rPr>
                <w:rFonts w:ascii="Times New Roman" w:hAnsi="Times New Roman"/>
                <w:b/>
              </w:rPr>
              <w:t>20</w:t>
            </w:r>
            <w:r w:rsidRPr="00491EBA">
              <w:rPr>
                <w:rFonts w:ascii="Times New Roman" w:hAnsi="Times New Roman"/>
                <w:b/>
                <w:lang w:val="ru-RU"/>
              </w:rPr>
              <w:t xml:space="preserve"> </w:t>
            </w:r>
            <w:r w:rsidRPr="00491EBA">
              <w:rPr>
                <w:rFonts w:ascii="Times New Roman" w:hAnsi="Times New Roman"/>
                <w:b/>
              </w:rPr>
              <w:t>грудня 202</w:t>
            </w:r>
            <w:r w:rsidR="00544262" w:rsidRPr="00491EBA">
              <w:rPr>
                <w:rFonts w:ascii="Times New Roman" w:hAnsi="Times New Roman"/>
                <w:b/>
              </w:rPr>
              <w:t>3</w:t>
            </w:r>
            <w:r w:rsidRPr="00491EBA">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6227D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6227D8">
              <w:rPr>
                <w:rFonts w:ascii="Times New Roman" w:hAnsi="Times New Roman" w:cs="Times New Roman"/>
                <w:b/>
                <w:lang w:val="uk-UA"/>
              </w:rPr>
              <w:t xml:space="preserve">Для юридичних осіб- копію </w:t>
            </w:r>
            <w:r w:rsidRPr="006227D8">
              <w:rPr>
                <w:rFonts w:ascii="Times New Roman" w:hAnsi="Times New Roman" w:cs="Times New Roman"/>
                <w:lang w:val="uk-UA"/>
              </w:rPr>
              <w:t xml:space="preserve">актуальної на дату подання редакції </w:t>
            </w:r>
            <w:r w:rsidRPr="006227D8">
              <w:rPr>
                <w:rFonts w:ascii="Times New Roman" w:hAnsi="Times New Roman" w:cs="Times New Roman"/>
                <w:b/>
                <w:lang w:val="uk-UA"/>
              </w:rPr>
              <w:t>Статуту</w:t>
            </w:r>
            <w:r w:rsidRPr="006227D8">
              <w:rPr>
                <w:rFonts w:ascii="Times New Roman" w:hAnsi="Times New Roman" w:cs="Times New Roman"/>
                <w:lang w:val="uk-UA"/>
              </w:rPr>
              <w:t xml:space="preserve"> </w:t>
            </w:r>
            <w:r w:rsidRPr="006227D8">
              <w:rPr>
                <w:rFonts w:ascii="Times New Roman" w:hAnsi="Times New Roman" w:cs="Times New Roman"/>
                <w:b/>
                <w:lang w:val="uk-UA"/>
              </w:rPr>
              <w:t>або</w:t>
            </w:r>
            <w:r w:rsidRPr="006227D8">
              <w:rPr>
                <w:rFonts w:ascii="Times New Roman" w:hAnsi="Times New Roman" w:cs="Times New Roman"/>
                <w:lang w:val="uk-UA"/>
              </w:rPr>
              <w:t xml:space="preserve"> </w:t>
            </w:r>
            <w:r w:rsidRPr="006227D8">
              <w:rPr>
                <w:rFonts w:ascii="Times New Roman" w:hAnsi="Times New Roman" w:cs="Times New Roman"/>
                <w:b/>
                <w:lang w:val="uk-UA"/>
              </w:rPr>
              <w:t xml:space="preserve">інших установчих документів або </w:t>
            </w:r>
            <w:r w:rsidRPr="006227D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6227D8">
                <w:rPr>
                  <w:rStyle w:val="a7"/>
                  <w:rFonts w:ascii="Times New Roman" w:eastAsia="Times New Roman" w:hAnsi="Times New Roman" w:cs="Times New Roman"/>
                  <w:lang w:val="uk-UA"/>
                </w:rPr>
                <w:t>https://usr.minjust.gov.ua/ua/freesearch</w:t>
              </w:r>
            </w:hyperlink>
            <w:r w:rsidRPr="006227D8">
              <w:rPr>
                <w:rFonts w:ascii="Times New Roman" w:hAnsi="Times New Roman" w:cs="Times New Roman"/>
                <w:lang w:val="uk-UA"/>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576594">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576594">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0"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3E5185" w:rsidRPr="005B61BB">
              <w:fldChar w:fldCharType="begin"/>
            </w:r>
            <w:r w:rsidR="003E5185" w:rsidRPr="005B61BB">
              <w:rPr>
                <w:sz w:val="24"/>
                <w:szCs w:val="24"/>
              </w:rPr>
              <w:instrText xml:space="preserve"> HYPERLINK "https://zakon.rada.gov.ua/laws/show/922-19" \l "n1422" </w:instrText>
            </w:r>
            <w:r w:rsidR="003E5185" w:rsidRPr="005B61BB">
              <w:fldChar w:fldCharType="separate"/>
            </w:r>
            <w:r w:rsidRPr="005B61BB">
              <w:rPr>
                <w:rStyle w:val="a7"/>
                <w:rFonts w:ascii="Times New Roman" w:hAnsi="Times New Roman" w:cs="Times New Roman"/>
                <w:color w:val="000000" w:themeColor="text1"/>
                <w:sz w:val="24"/>
                <w:szCs w:val="24"/>
              </w:rPr>
              <w:t>. 1 ч. 3 ст. 22</w:t>
            </w:r>
            <w:r w:rsidR="003E5185" w:rsidRPr="005B61BB">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 xml:space="preserve">громадяни Російської Федерації, крім тих, що проживають на </w:t>
            </w:r>
            <w:r w:rsidRPr="0074713C">
              <w:rPr>
                <w:rFonts w:ascii="Times New Roman" w:hAnsi="Times New Roman" w:cs="Times New Roman"/>
                <w:sz w:val="24"/>
                <w:szCs w:val="24"/>
              </w:rPr>
              <w:lastRenderedPageBreak/>
              <w:t>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частку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576594">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w:t>
            </w:r>
            <w:r w:rsidRPr="00B44F52">
              <w:rPr>
                <w:rFonts w:ascii="Times New Roman" w:hAnsi="Times New Roman" w:cs="Times New Roman"/>
                <w:sz w:val="24"/>
                <w:szCs w:val="24"/>
              </w:rPr>
              <w:lastRenderedPageBreak/>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576594">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B1648F" w:rsidRDefault="00827D8D" w:rsidP="00B8719C">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sz w:val="24"/>
                <w:szCs w:val="24"/>
                <w:lang w:val="uk-UA"/>
              </w:rPr>
            </w:pPr>
            <w:r w:rsidRPr="00B1648F">
              <w:rPr>
                <w:rFonts w:ascii="Times New Roman" w:hAnsi="Times New Roman"/>
                <w:sz w:val="24"/>
                <w:szCs w:val="24"/>
                <w:lang w:val="uk-UA" w:eastAsia="uk-UA"/>
              </w:rPr>
              <w:t>К</w:t>
            </w:r>
            <w:r w:rsidRPr="00B1648F">
              <w:rPr>
                <w:rFonts w:ascii="Times New Roman" w:hAnsi="Times New Roman"/>
                <w:sz w:val="24"/>
                <w:szCs w:val="24"/>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 xml:space="preserve">зазначається інформація про ціну, інші критерії оцінки (у разі їх установлення замовником), що </w:t>
            </w:r>
            <w:r w:rsidRPr="00B1648F">
              <w:rPr>
                <w:rFonts w:ascii="Times New Roman" w:eastAsia="Times New Roman" w:hAnsi="Times New Roman" w:cs="Times New Roman"/>
                <w:color w:val="auto"/>
                <w:sz w:val="24"/>
                <w:szCs w:val="24"/>
                <w:lang w:val="uk-UA"/>
              </w:rPr>
              <w:lastRenderedPageBreak/>
              <w:t>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w:t>
            </w:r>
            <w:r w:rsidRPr="000A040D">
              <w:rPr>
                <w:b/>
                <w:sz w:val="22"/>
                <w:szCs w:val="22"/>
              </w:rPr>
              <w:lastRenderedPageBreak/>
              <w:t xml:space="preserve">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w:t>
            </w:r>
            <w:r>
              <w:rPr>
                <w:rFonts w:ascii="Times New Roman" w:eastAsia="Times New Roman" w:hAnsi="Times New Roman" w:cs="Times New Roman"/>
                <w:sz w:val="24"/>
                <w:szCs w:val="24"/>
              </w:rPr>
              <w:lastRenderedPageBreak/>
              <w:t xml:space="preserve">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C466E9">
        <w:trPr>
          <w:trHeight w:val="558"/>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F613B6" w:rsidRDefault="004D04A9" w:rsidP="004D04A9">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Default="00B8719C" w:rsidP="00827D8D">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B8719C" w:rsidRPr="00B8719C" w:rsidRDefault="00B8719C" w:rsidP="00B8719C">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sidR="007075BE">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B8719C" w:rsidRPr="00526469" w14:paraId="596157FB" w14:textId="77777777" w:rsidTr="00A76F2D">
              <w:trPr>
                <w:trHeight w:val="1394"/>
              </w:trPr>
              <w:tc>
                <w:tcPr>
                  <w:tcW w:w="1445" w:type="dxa"/>
                  <w:tcBorders>
                    <w:top w:val="single" w:sz="4" w:space="0" w:color="000000"/>
                    <w:left w:val="single" w:sz="4" w:space="0" w:color="000000"/>
                    <w:bottom w:val="single" w:sz="4" w:space="0" w:color="000000"/>
                    <w:right w:val="nil"/>
                  </w:tcBorders>
                  <w:vAlign w:val="center"/>
                </w:tcPr>
                <w:p w14:paraId="32BE574D" w14:textId="162A379E" w:rsidR="00B8719C" w:rsidRDefault="00B8719C" w:rsidP="00B8719C">
                  <w:pPr>
                    <w:spacing w:after="0" w:line="240" w:lineRule="auto"/>
                    <w:rPr>
                      <w:rFonts w:ascii="Times New Roman" w:hAnsi="Times New Roman"/>
                      <w:color w:val="000000"/>
                    </w:rPr>
                  </w:pPr>
                  <w:r>
                    <w:rPr>
                      <w:rFonts w:ascii="Times New Roman" w:hAnsi="Times New Roman" w:cs="Times New Roman"/>
                      <w:i/>
                    </w:rPr>
                    <w:t>2. Наявність в учасника проц</w:t>
                  </w:r>
                  <w:r w:rsidRPr="00295B07">
                    <w:rPr>
                      <w:rFonts w:ascii="Times New Roman" w:hAnsi="Times New Roman" w:cs="Times New Roman"/>
                      <w:i/>
                    </w:rPr>
                    <w:t>едури закуп</w:t>
                  </w:r>
                  <w:r>
                    <w:rPr>
                      <w:rFonts w:ascii="Times New Roman" w:hAnsi="Times New Roman" w:cs="Times New Roman"/>
                      <w:i/>
                    </w:rPr>
                    <w:t>і</w:t>
                  </w:r>
                  <w:r w:rsidRPr="00295B07">
                    <w:rPr>
                      <w:rFonts w:ascii="Times New Roman" w:hAnsi="Times New Roman" w:cs="Times New Roman"/>
                      <w:i/>
                    </w:rPr>
                    <w:t xml:space="preserve">влі працівників відповідної кваліфікації, </w:t>
                  </w:r>
                  <w:r>
                    <w:rPr>
                      <w:rFonts w:ascii="Times New Roman" w:hAnsi="Times New Roman" w:cs="Times New Roman"/>
                      <w:i/>
                    </w:rPr>
                    <w:t>я</w:t>
                  </w:r>
                  <w:r w:rsidRPr="00295B07">
                    <w:rPr>
                      <w:rFonts w:ascii="Times New Roman" w:hAnsi="Times New Roman" w:cs="Times New Roman"/>
                      <w:i/>
                    </w:rPr>
                    <w:t>кі</w:t>
                  </w:r>
                  <w:r>
                    <w:rPr>
                      <w:rFonts w:ascii="Times New Roman" w:hAnsi="Times New Roman" w:cs="Times New Roman"/>
                      <w:i/>
                    </w:rPr>
                    <w:t xml:space="preserve"> </w:t>
                  </w:r>
                  <w:r w:rsidRPr="00295B07">
                    <w:rPr>
                      <w:rFonts w:ascii="Times New Roman" w:hAnsi="Times New Roman" w:cs="Times New Roman"/>
                      <w:i/>
                    </w:rPr>
                    <w:t xml:space="preserve">мають необхідні </w:t>
                  </w:r>
                  <w:r>
                    <w:rPr>
                      <w:rFonts w:ascii="Times New Roman" w:hAnsi="Times New Roman" w:cs="Times New Roman"/>
                      <w:i/>
                    </w:rPr>
                    <w:t>з</w:t>
                  </w:r>
                  <w:r w:rsidRPr="00295B07">
                    <w:rPr>
                      <w:rFonts w:ascii="Times New Roman" w:hAnsi="Times New Roman" w:cs="Times New Roman"/>
                      <w:i/>
                    </w:rPr>
                    <w:t>нання та</w:t>
                  </w:r>
                  <w:r w:rsidRPr="00295B07">
                    <w:rPr>
                      <w:rFonts w:ascii="Times New Roman" w:hAnsi="Times New Roman" w:cs="Times New Roman"/>
                      <w:i/>
                    </w:rPr>
                    <w:cr/>
                    <w:t>досвід</w:t>
                  </w:r>
                </w:p>
              </w:tc>
              <w:tc>
                <w:tcPr>
                  <w:tcW w:w="5705" w:type="dxa"/>
                  <w:tcBorders>
                    <w:top w:val="single" w:sz="4" w:space="0" w:color="000000"/>
                    <w:left w:val="single" w:sz="4" w:space="0" w:color="000000"/>
                    <w:bottom w:val="single" w:sz="4" w:space="0" w:color="000000"/>
                    <w:right w:val="single" w:sz="4" w:space="0" w:color="000000"/>
                  </w:tcBorders>
                  <w:vAlign w:val="center"/>
                </w:tcPr>
                <w:p w14:paraId="4B280555" w14:textId="486F8738" w:rsidR="00B8719C" w:rsidRPr="00827D8D" w:rsidRDefault="00B8719C" w:rsidP="00B8719C">
                  <w:pPr>
                    <w:shd w:val="clear" w:color="auto" w:fill="FFFFFF"/>
                    <w:spacing w:after="0" w:line="240" w:lineRule="auto"/>
                    <w:jc w:val="both"/>
                    <w:rPr>
                      <w:rFonts w:ascii="Times New Roman" w:hAnsi="Times New Roman" w:cs="Times New Roman"/>
                      <w:sz w:val="24"/>
                      <w:szCs w:val="24"/>
                    </w:rPr>
                  </w:pPr>
                  <w:r w:rsidRPr="00295B07">
                    <w:rPr>
                      <w:rFonts w:ascii="Times New Roman" w:hAnsi="Times New Roman" w:cs="Times New Roman"/>
                      <w:sz w:val="24"/>
                      <w:szCs w:val="24"/>
                    </w:rPr>
                    <w:t>- Інформаційну довідку в довільній формі про наявність в учасника працівника відповідної кваліфікації.</w:t>
                  </w:r>
                </w:p>
              </w:tc>
            </w:tr>
            <w:tr w:rsidR="00B8719C"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06BA3314" w:rsidR="00B8719C" w:rsidRPr="00827D8D" w:rsidRDefault="00B8719C" w:rsidP="00B8719C">
                  <w:pPr>
                    <w:spacing w:after="0" w:line="240" w:lineRule="auto"/>
                  </w:pPr>
                  <w:r>
                    <w:rPr>
                      <w:rFonts w:ascii="Times New Roman" w:hAnsi="Times New Roman"/>
                      <w:color w:val="000000"/>
                    </w:rPr>
                    <w:t xml:space="preserve">3. </w:t>
                  </w:r>
                  <w:r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1BD51C01" w:rsidR="00B8719C" w:rsidRPr="00764099" w:rsidRDefault="00B8719C" w:rsidP="00B8719C">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B8719C" w:rsidRPr="00764099" w:rsidRDefault="00B8719C" w:rsidP="00B8719C">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B8719C" w:rsidRPr="00764099" w:rsidRDefault="00B8719C" w:rsidP="00B8719C">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B8719C" w:rsidRPr="00764099" w:rsidRDefault="00B8719C" w:rsidP="00B8719C">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B8719C" w:rsidRPr="00764099" w:rsidRDefault="00B8719C" w:rsidP="00B8719C">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B8719C" w:rsidRPr="00764099" w:rsidRDefault="00B8719C" w:rsidP="00B8719C">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B8719C" w:rsidRPr="00764099"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lastRenderedPageBreak/>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B8719C" w:rsidRPr="00764099"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B8719C" w:rsidRPr="00764099" w:rsidRDefault="00B8719C" w:rsidP="00B8719C">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B8719C" w:rsidRPr="00827D8D" w:rsidRDefault="00B8719C" w:rsidP="00B8719C">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Pr="00E058CD" w:rsidRDefault="004C735C" w:rsidP="004C735C">
            <w:pPr>
              <w:ind w:right="120"/>
              <w:jc w:val="both"/>
              <w:rPr>
                <w:rFonts w:ascii="Times New Roman" w:hAnsi="Times New Roman" w:cs="Times New Roman"/>
                <w:b/>
                <w:color w:val="000000"/>
                <w:sz w:val="24"/>
                <w:szCs w:val="24"/>
              </w:rPr>
            </w:pPr>
            <w:r w:rsidRPr="00E058CD">
              <w:rPr>
                <w:rFonts w:ascii="Times New Roman" w:hAnsi="Times New Roman" w:cs="Times New Roman"/>
                <w:b/>
                <w:color w:val="000000"/>
                <w:sz w:val="24"/>
                <w:szCs w:val="24"/>
              </w:rPr>
              <w:t>Підстави, встановлені статтею 17 Закону.</w:t>
            </w:r>
          </w:p>
          <w:p w14:paraId="69AA99EA" w14:textId="32CE210C"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0DF858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774A82">
              <w:rPr>
                <w:rFonts w:ascii="Times New Roman" w:hAnsi="Times New Roman" w:cs="Times New Roman"/>
                <w:sz w:val="24"/>
                <w:szCs w:val="24"/>
              </w:rPr>
              <w:t>внесено</w:t>
            </w:r>
            <w:proofErr w:type="spellEnd"/>
            <w:r w:rsidRPr="00774A8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38192F2"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4A82">
              <w:rPr>
                <w:rFonts w:ascii="Times New Roman" w:hAnsi="Times New Roman" w:cs="Times New Roman"/>
                <w:sz w:val="24"/>
                <w:szCs w:val="24"/>
              </w:rPr>
              <w:t>антиконкурентних</w:t>
            </w:r>
            <w:proofErr w:type="spellEnd"/>
            <w:r w:rsidRPr="00774A82">
              <w:rPr>
                <w:rFonts w:ascii="Times New Roman" w:hAnsi="Times New Roman" w:cs="Times New Roman"/>
                <w:sz w:val="24"/>
                <w:szCs w:val="24"/>
              </w:rPr>
              <w:t xml:space="preserve"> узгоджених дій, що стосуються спотворення результатів тендерів;</w:t>
            </w:r>
          </w:p>
          <w:p w14:paraId="4A9BEDE7"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w:t>
            </w:r>
            <w:r w:rsidRPr="00774A82">
              <w:rPr>
                <w:rFonts w:ascii="Times New Roman" w:hAnsi="Times New Roman" w:cs="Times New Roman"/>
                <w:sz w:val="24"/>
                <w:szCs w:val="24"/>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74A82">
              <w:rPr>
                <w:rFonts w:ascii="Times New Roman" w:hAnsi="Times New Roman" w:cs="Times New Roman"/>
                <w:sz w:val="24"/>
                <w:szCs w:val="24"/>
              </w:rPr>
              <w:t>закупівель</w:t>
            </w:r>
            <w:proofErr w:type="spellEnd"/>
            <w:r w:rsidRPr="00774A82">
              <w:rPr>
                <w:rFonts w:ascii="Times New Roman" w:hAnsi="Times New Roman" w:cs="Times New Roman"/>
                <w:sz w:val="24"/>
                <w:szCs w:val="24"/>
              </w:rPr>
              <w:t xml:space="preserve"> товарів, робіт і послуг згідно із Законом України "Про санкції";</w:t>
            </w:r>
          </w:p>
          <w:p w14:paraId="293766B8" w14:textId="77777777" w:rsidR="004C735C" w:rsidRPr="00774A82" w:rsidRDefault="004C735C" w:rsidP="004C735C">
            <w:pPr>
              <w:ind w:right="120"/>
              <w:jc w:val="both"/>
              <w:rPr>
                <w:rFonts w:ascii="Times New Roman" w:hAnsi="Times New Roman" w:cs="Times New Roman"/>
                <w:sz w:val="24"/>
                <w:szCs w:val="24"/>
                <w:highlight w:val="green"/>
              </w:rPr>
            </w:pPr>
            <w:r w:rsidRPr="00774A82">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Pr="00774A82" w:rsidRDefault="004C735C" w:rsidP="004C735C">
            <w:pPr>
              <w:ind w:right="120"/>
              <w:jc w:val="both"/>
              <w:rPr>
                <w:rFonts w:ascii="Times New Roman" w:hAnsi="Times New Roman" w:cs="Times New Roman"/>
                <w:i/>
                <w:sz w:val="24"/>
                <w:szCs w:val="24"/>
                <w:highlight w:val="white"/>
              </w:rPr>
            </w:pPr>
            <w:r w:rsidRPr="00774A82">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A82">
              <w:rPr>
                <w:rFonts w:ascii="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Pr="00774A82" w:rsidRDefault="004C735C" w:rsidP="004C735C">
            <w:pPr>
              <w:ind w:right="120"/>
              <w:jc w:val="both"/>
              <w:rPr>
                <w:rFonts w:ascii="Times New Roman" w:hAnsi="Times New Roman" w:cs="Times New Roman"/>
                <w:sz w:val="24"/>
                <w:szCs w:val="24"/>
              </w:rPr>
            </w:pPr>
            <w:r w:rsidRPr="00774A82">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Pr="00774A82" w:rsidRDefault="004C735C" w:rsidP="004C735C">
            <w:pPr>
              <w:spacing w:before="120"/>
              <w:ind w:firstLine="567"/>
              <w:jc w:val="both"/>
              <w:rPr>
                <w:rFonts w:ascii="Times New Roman" w:hAnsi="Times New Roman" w:cs="Times New Roman"/>
                <w:sz w:val="24"/>
                <w:szCs w:val="24"/>
                <w:highlight w:val="white"/>
                <w:lang w:eastAsia="uk-UA"/>
              </w:rPr>
            </w:pPr>
            <w:r w:rsidRPr="00774A82">
              <w:rPr>
                <w:rFonts w:ascii="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74A82">
              <w:rPr>
                <w:rFonts w:ascii="Times New Roman" w:hAnsi="Times New Roman" w:cs="Times New Roman"/>
                <w:sz w:val="24"/>
                <w:szCs w:val="24"/>
                <w:highlight w:val="white"/>
                <w:lang w:eastAsia="uk-UA"/>
              </w:rPr>
              <w:t>закупівель</w:t>
            </w:r>
            <w:proofErr w:type="spellEnd"/>
            <w:r w:rsidRPr="00774A82">
              <w:rPr>
                <w:rFonts w:ascii="Times New Roman" w:hAnsi="Times New Roman" w:cs="Times New Roman"/>
                <w:sz w:val="24"/>
                <w:szCs w:val="24"/>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Pr="00774A82" w:rsidRDefault="004C735C" w:rsidP="00FA1B60">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w:t>
            </w:r>
            <w:r w:rsidRPr="00774A82">
              <w:rPr>
                <w:rFonts w:ascii="Times New Roman" w:hAnsi="Times New Roman" w:cs="Times New Roman"/>
                <w:i/>
                <w:sz w:val="24"/>
                <w:szCs w:val="24"/>
                <w:highlight w:val="white"/>
              </w:rPr>
              <w:lastRenderedPageBreak/>
              <w:t xml:space="preserve">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004559DE"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FA1B60" w:rsidRPr="00C466E9" w:rsidRDefault="00FA1B60" w:rsidP="004559DE">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6F60EFB9"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9D5A48">
              <w:rPr>
                <w:rFonts w:ascii="Times New Roman" w:eastAsia="Times New Roman" w:hAnsi="Times New Roman" w:cs="Times New Roman"/>
                <w:color w:val="000000"/>
                <w:sz w:val="24"/>
                <w:szCs w:val="24"/>
              </w:rPr>
              <w:t xml:space="preserve"> </w:t>
            </w:r>
            <w:r w:rsidR="00387A22">
              <w:rPr>
                <w:rFonts w:ascii="Times New Roman" w:eastAsia="Times New Roman" w:hAnsi="Times New Roman" w:cs="Times New Roman"/>
                <w:b/>
                <w:color w:val="000000"/>
                <w:sz w:val="24"/>
                <w:szCs w:val="24"/>
              </w:rPr>
              <w:t>27</w:t>
            </w:r>
            <w:bookmarkStart w:id="5" w:name="_GoBack"/>
            <w:bookmarkEnd w:id="5"/>
            <w:r w:rsidR="00EC0EE7" w:rsidRPr="009D5A48">
              <w:rPr>
                <w:rFonts w:ascii="Times New Roman" w:eastAsia="Times New Roman" w:hAnsi="Times New Roman" w:cs="Times New Roman"/>
                <w:b/>
                <w:color w:val="000000"/>
                <w:sz w:val="24"/>
                <w:szCs w:val="24"/>
              </w:rPr>
              <w:t>.01.2023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EC0EE7">
              <w:rPr>
                <w:rFonts w:ascii="Times New Roman" w:eastAsia="Times New Roman" w:hAnsi="Times New Roman" w:cs="Times New Roman"/>
                <w:b/>
                <w:sz w:val="24"/>
                <w:szCs w:val="24"/>
              </w:rPr>
              <w:t>г.</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4A2990DF" w:rsidR="002A0322" w:rsidRDefault="008D1926" w:rsidP="007C3653">
            <w:pPr>
              <w:pStyle w:val="aa"/>
              <w:spacing w:before="0" w:after="0"/>
              <w:ind w:left="55" w:firstLine="5"/>
              <w:jc w:val="both"/>
              <w:rPr>
                <w:strike/>
              </w:rPr>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D131E8">
        <w:trPr>
          <w:trHeight w:val="482"/>
          <w:jc w:val="center"/>
        </w:trPr>
        <w:tc>
          <w:tcPr>
            <w:tcW w:w="10343"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s="Times New Roman"/>
                <w:color w:val="000000"/>
                <w:sz w:val="24"/>
                <w:szCs w:val="24"/>
              </w:rPr>
              <w:lastRenderedPageBreak/>
              <w:t>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01B0A09A"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w:t>
            </w:r>
            <w:r>
              <w:rPr>
                <w:rFonts w:ascii="Times New Roman" w:eastAsia="Times New Roman" w:hAnsi="Times New Roman" w:cs="Times New Roman"/>
                <w:sz w:val="24"/>
                <w:szCs w:val="24"/>
              </w:rPr>
              <w:lastRenderedPageBreak/>
              <w:t xml:space="preserve">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1DC0C188"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виявлені замовником після розкриття тендерних пропозицій</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0D6C09D3"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конфіденційна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04C18A3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w:t>
            </w:r>
            <w:r w:rsidR="007075E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29CCC89C"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результатами проведеної закупівлі</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укладається відповідно до Цивільного і Господарського кодексів України</w:t>
            </w:r>
            <w:r w:rsidR="00AD5E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sidRPr="00AD5E83">
              <w:rPr>
                <w:rFonts w:ascii="Times New Roman" w:eastAsia="Times New Roman" w:hAnsi="Times New Roman" w:cs="Times New Roman"/>
                <w:b/>
                <w:sz w:val="24"/>
                <w:szCs w:val="24"/>
                <w:u w:val="single"/>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A040D"/>
    <w:rsid w:val="000D0F9F"/>
    <w:rsid w:val="00132B8C"/>
    <w:rsid w:val="00165670"/>
    <w:rsid w:val="00192222"/>
    <w:rsid w:val="001F2748"/>
    <w:rsid w:val="00253D2B"/>
    <w:rsid w:val="0027523C"/>
    <w:rsid w:val="002929A6"/>
    <w:rsid w:val="00294F9F"/>
    <w:rsid w:val="002A0322"/>
    <w:rsid w:val="002B4444"/>
    <w:rsid w:val="002D6FFC"/>
    <w:rsid w:val="002E7715"/>
    <w:rsid w:val="00332C0F"/>
    <w:rsid w:val="0038540B"/>
    <w:rsid w:val="00387A22"/>
    <w:rsid w:val="003B287D"/>
    <w:rsid w:val="003C2F6D"/>
    <w:rsid w:val="003D0063"/>
    <w:rsid w:val="003D38B5"/>
    <w:rsid w:val="003E12DA"/>
    <w:rsid w:val="003E5185"/>
    <w:rsid w:val="00404F12"/>
    <w:rsid w:val="00410D78"/>
    <w:rsid w:val="00413195"/>
    <w:rsid w:val="00420983"/>
    <w:rsid w:val="004528A7"/>
    <w:rsid w:val="004559DE"/>
    <w:rsid w:val="00477DB4"/>
    <w:rsid w:val="00491EBA"/>
    <w:rsid w:val="004B22B9"/>
    <w:rsid w:val="004C735C"/>
    <w:rsid w:val="004D04A9"/>
    <w:rsid w:val="004D2F06"/>
    <w:rsid w:val="004E3698"/>
    <w:rsid w:val="0053242E"/>
    <w:rsid w:val="00536285"/>
    <w:rsid w:val="00544262"/>
    <w:rsid w:val="00565944"/>
    <w:rsid w:val="00576594"/>
    <w:rsid w:val="0059350D"/>
    <w:rsid w:val="005A3A79"/>
    <w:rsid w:val="005B61BB"/>
    <w:rsid w:val="005B6292"/>
    <w:rsid w:val="005F3760"/>
    <w:rsid w:val="00605F80"/>
    <w:rsid w:val="00611FEE"/>
    <w:rsid w:val="00612E01"/>
    <w:rsid w:val="00614F53"/>
    <w:rsid w:val="006227D8"/>
    <w:rsid w:val="00642CF6"/>
    <w:rsid w:val="0066669A"/>
    <w:rsid w:val="006A414C"/>
    <w:rsid w:val="006B3806"/>
    <w:rsid w:val="006C6786"/>
    <w:rsid w:val="006D22F9"/>
    <w:rsid w:val="006D2D27"/>
    <w:rsid w:val="006D7EFA"/>
    <w:rsid w:val="006F766B"/>
    <w:rsid w:val="007075BE"/>
    <w:rsid w:val="007075E2"/>
    <w:rsid w:val="0074713C"/>
    <w:rsid w:val="00764099"/>
    <w:rsid w:val="00773004"/>
    <w:rsid w:val="00774A82"/>
    <w:rsid w:val="00774B47"/>
    <w:rsid w:val="00781501"/>
    <w:rsid w:val="0078389C"/>
    <w:rsid w:val="007B7B3A"/>
    <w:rsid w:val="007C3653"/>
    <w:rsid w:val="007D0267"/>
    <w:rsid w:val="007D3EB1"/>
    <w:rsid w:val="007D6343"/>
    <w:rsid w:val="007D78D9"/>
    <w:rsid w:val="007F3978"/>
    <w:rsid w:val="008205AC"/>
    <w:rsid w:val="00826347"/>
    <w:rsid w:val="00827D8D"/>
    <w:rsid w:val="00876107"/>
    <w:rsid w:val="008865CC"/>
    <w:rsid w:val="008D1926"/>
    <w:rsid w:val="008F5AEC"/>
    <w:rsid w:val="00921684"/>
    <w:rsid w:val="0092251F"/>
    <w:rsid w:val="00933D56"/>
    <w:rsid w:val="00950469"/>
    <w:rsid w:val="00950A13"/>
    <w:rsid w:val="00955B90"/>
    <w:rsid w:val="00977CC2"/>
    <w:rsid w:val="00994BED"/>
    <w:rsid w:val="009B5AFF"/>
    <w:rsid w:val="009C67CE"/>
    <w:rsid w:val="009D5A48"/>
    <w:rsid w:val="009F6732"/>
    <w:rsid w:val="00A23D95"/>
    <w:rsid w:val="00A2417D"/>
    <w:rsid w:val="00A27EDD"/>
    <w:rsid w:val="00A27F15"/>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44F52"/>
    <w:rsid w:val="00B4526B"/>
    <w:rsid w:val="00B50520"/>
    <w:rsid w:val="00B72965"/>
    <w:rsid w:val="00B7779C"/>
    <w:rsid w:val="00B8719C"/>
    <w:rsid w:val="00BC4D04"/>
    <w:rsid w:val="00C10A98"/>
    <w:rsid w:val="00C466E9"/>
    <w:rsid w:val="00C90190"/>
    <w:rsid w:val="00C938A0"/>
    <w:rsid w:val="00CB028B"/>
    <w:rsid w:val="00CE1689"/>
    <w:rsid w:val="00D131E8"/>
    <w:rsid w:val="00D14A56"/>
    <w:rsid w:val="00D35E16"/>
    <w:rsid w:val="00D56902"/>
    <w:rsid w:val="00D87408"/>
    <w:rsid w:val="00DB33CA"/>
    <w:rsid w:val="00DB3E51"/>
    <w:rsid w:val="00DE2130"/>
    <w:rsid w:val="00DF3ECB"/>
    <w:rsid w:val="00E058CD"/>
    <w:rsid w:val="00E07892"/>
    <w:rsid w:val="00E77C6C"/>
    <w:rsid w:val="00E81F59"/>
    <w:rsid w:val="00EB3DDF"/>
    <w:rsid w:val="00EC0EE7"/>
    <w:rsid w:val="00EC61FE"/>
    <w:rsid w:val="00F043F4"/>
    <w:rsid w:val="00F25C31"/>
    <w:rsid w:val="00F37EBD"/>
    <w:rsid w:val="00F613B6"/>
    <w:rsid w:val="00F67A15"/>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3@gmail." TargetMode="Externa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DE6A5-BC1A-4D5B-A038-1268B6CC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10404</Words>
  <Characters>59304</Characters>
  <Application>Microsoft Office Word</Application>
  <DocSecurity>0</DocSecurity>
  <Lines>494</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80</cp:revision>
  <dcterms:created xsi:type="dcterms:W3CDTF">2023-01-06T08:33:00Z</dcterms:created>
  <dcterms:modified xsi:type="dcterms:W3CDTF">2023-01-17T10:09:00Z</dcterms:modified>
</cp:coreProperties>
</file>