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EAA" w14:textId="77777777" w:rsidR="00124573" w:rsidRPr="00E6385F" w:rsidRDefault="00124573" w:rsidP="005D47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E638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E638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E638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57D45EBA" w14:textId="77777777" w:rsidR="00124573" w:rsidRPr="00E6385F" w:rsidRDefault="00124573" w:rsidP="005D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38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0942DFDD" w14:textId="77777777" w:rsidR="00124573" w:rsidRPr="00E6385F" w:rsidRDefault="00124573" w:rsidP="005D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385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6592D00A" w14:textId="77777777" w:rsidR="00124573" w:rsidRPr="00E6385F" w:rsidRDefault="00124573" w:rsidP="005D4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5A81DE" w14:textId="6F11E95B" w:rsidR="00124573" w:rsidRPr="00E6385F" w:rsidRDefault="005D4735" w:rsidP="005D4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 xml:space="preserve">«ДК 021:2015-34110000-1 </w:t>
      </w:r>
      <w:proofErr w:type="spellStart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>Легкові</w:t>
      </w:r>
      <w:proofErr w:type="spellEnd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>автомобілі</w:t>
      </w:r>
      <w:proofErr w:type="spellEnd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>Легкові</w:t>
      </w:r>
      <w:proofErr w:type="spellEnd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>автомобілі</w:t>
      </w:r>
      <w:proofErr w:type="spellEnd"/>
      <w:r w:rsidRPr="00E6385F">
        <w:rPr>
          <w:rFonts w:ascii="Times New Roman" w:eastAsia="Times New Roman" w:hAnsi="Times New Roman" w:cs="Times New Roman"/>
          <w:b/>
          <w:sz w:val="24"/>
          <w:szCs w:val="24"/>
        </w:rPr>
        <w:t>)»</w:t>
      </w:r>
    </w:p>
    <w:p w14:paraId="1D3247BD" w14:textId="2CF6E4EB" w:rsidR="005D4735" w:rsidRPr="00E6385F" w:rsidRDefault="005D4735" w:rsidP="005D4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8DB3F" w14:textId="77777777" w:rsidR="005D4735" w:rsidRPr="00E6385F" w:rsidRDefault="005D4735" w:rsidP="005D4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5DFDBF" w14:textId="491293B3" w:rsidR="005D4735" w:rsidRPr="00E6385F" w:rsidRDefault="005D4735" w:rsidP="005D47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автомобілів (далі – Товар)</w:t>
      </w:r>
      <w:r w:rsidRPr="00E63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до 31 грудня 202</w:t>
      </w:r>
      <w:r w:rsidR="00D71801" w:rsidRPr="00E6385F">
        <w:rPr>
          <w:rFonts w:ascii="Times New Roman" w:eastAsia="Calibri" w:hAnsi="Times New Roman" w:cs="Times New Roman"/>
          <w:sz w:val="24"/>
          <w:szCs w:val="24"/>
        </w:rPr>
        <w:t>3</w:t>
      </w:r>
      <w:r w:rsidRPr="00E63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року.</w:t>
      </w:r>
    </w:p>
    <w:p w14:paraId="29DC75A2" w14:textId="75335C03" w:rsidR="005D4735" w:rsidRPr="00E6385F" w:rsidRDefault="005D4735" w:rsidP="005D47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Товар повинен бути новим, таким, що не був у використанні. Доставка товару за рахунок постачальника за </w:t>
      </w:r>
      <w:proofErr w:type="spellStart"/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E63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79026, м. Львів, вул. Бой-</w:t>
      </w:r>
      <w:proofErr w:type="spellStart"/>
      <w:r w:rsidRPr="00E63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Желенського</w:t>
      </w:r>
      <w:proofErr w:type="spellEnd"/>
      <w:r w:rsidRPr="00E638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5</w:t>
      </w:r>
    </w:p>
    <w:p w14:paraId="09999B40" w14:textId="77777777" w:rsidR="005D4735" w:rsidRPr="00E6385F" w:rsidRDefault="005D4735" w:rsidP="005D47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Учасник дає гарантію, 3 роки або 100 000 км. пробігу(в залежності від того, що настане раніше). На двигун та трансмісію – 5 років або 150 000 км. пробігу (в залежності від того, що настане раніше).</w:t>
      </w:r>
    </w:p>
    <w:p w14:paraId="64E5A018" w14:textId="0C2EE396" w:rsidR="005D4735" w:rsidRPr="00E6385F" w:rsidRDefault="005D4735" w:rsidP="005D47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6"/>
        <w:gridCol w:w="3470"/>
        <w:gridCol w:w="1505"/>
      </w:tblGrid>
      <w:tr w:rsidR="005D4735" w:rsidRPr="00E6385F" w14:paraId="184827EB" w14:textId="77777777" w:rsidTr="005D4735">
        <w:trPr>
          <w:jc w:val="center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9B40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BAA0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 виміру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2D78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D4735" w:rsidRPr="00E6385F" w14:paraId="1F2BDD78" w14:textId="77777777" w:rsidTr="005D4735">
        <w:trPr>
          <w:jc w:val="center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2C41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Легковий автомобіль </w:t>
            </w:r>
            <w:proofErr w:type="spellStart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Chery</w:t>
            </w:r>
            <w:proofErr w:type="spellEnd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Tiggo</w:t>
            </w:r>
            <w:proofErr w:type="spellEnd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  або еквівалент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70D7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9690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14:paraId="70DBFF2F" w14:textId="77777777" w:rsidR="005D4735" w:rsidRPr="00E6385F" w:rsidRDefault="005D4735" w:rsidP="005D47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43EE8B2" w14:textId="6721866D" w:rsidR="005D4735" w:rsidRPr="00E6385F" w:rsidRDefault="005D4735" w:rsidP="005D47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3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характеристики</w:t>
      </w:r>
    </w:p>
    <w:p w14:paraId="63EF6956" w14:textId="77777777" w:rsidR="005D4735" w:rsidRPr="00E6385F" w:rsidRDefault="005D4735" w:rsidP="005D47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2928"/>
        <w:gridCol w:w="2634"/>
        <w:gridCol w:w="3352"/>
      </w:tblGrid>
      <w:tr w:rsidR="005D4735" w:rsidRPr="00E6385F" w14:paraId="19E55EDB" w14:textId="77777777" w:rsidTr="005D4735">
        <w:trPr>
          <w:trHeight w:val="583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FA0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7E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замовника</w:t>
            </w:r>
          </w:p>
          <w:p w14:paraId="7A06ED8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0EA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Інформація про  відповідність вимогам замовника, показник запропонований учасником.</w:t>
            </w:r>
          </w:p>
        </w:tc>
      </w:tr>
      <w:tr w:rsidR="005D4735" w:rsidRPr="00E6385F" w14:paraId="5D71524C" w14:textId="77777777" w:rsidTr="005D4735">
        <w:trPr>
          <w:trHeight w:val="290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B0B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C01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2052EBA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характеристики</w:t>
            </w:r>
          </w:p>
          <w:p w14:paraId="28266A3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01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172C53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17D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5D4735" w:rsidRPr="00E6385F" w14:paraId="733670E0" w14:textId="77777777" w:rsidTr="005D4735">
        <w:trPr>
          <w:trHeight w:val="24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5B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43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кузова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68F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П’ятидверний</w:t>
            </w:r>
            <w:proofErr w:type="spellEnd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D61CAC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кросовер, </w:t>
            </w:r>
            <w:proofErr w:type="spellStart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хетчбек</w:t>
            </w:r>
            <w:proofErr w:type="spellEnd"/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універсал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9A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529E4A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53C9426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2BC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221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Довжина кузова (мм)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EFE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4300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F87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971CB99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4D4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42C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Ширина кузова без врахування зовнішніх дзеркал (мм)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A9E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1800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AB5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0CC8A108" w14:textId="77777777" w:rsidTr="005D4735">
        <w:trPr>
          <w:trHeight w:val="3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7FC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DA6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Висота кузова з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рейлінгами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(мм)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036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1650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59A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F960119" w14:textId="77777777" w:rsidTr="005D4735">
        <w:trPr>
          <w:trHeight w:val="24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745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1B0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Колісна база (мм)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6A1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2610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8A5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58FA5FA" w14:textId="77777777" w:rsidTr="005D4735">
        <w:trPr>
          <w:trHeight w:val="32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FF9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FFB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Споряджена маса (кг)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3B1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1300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D35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306CE84" w14:textId="77777777" w:rsidTr="005D4735">
        <w:trPr>
          <w:trHeight w:val="32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1FB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9CA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Мінімальний кліренс (мм)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7F1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165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00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60EBBC9" w14:textId="77777777" w:rsidTr="005D473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75D9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Двигун</w:t>
            </w:r>
          </w:p>
        </w:tc>
      </w:tr>
      <w:tr w:rsidR="005D4735" w:rsidRPr="00E6385F" w14:paraId="70F4270D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B91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054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двигуна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E8D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Бензиновий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45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6B262D8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160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0C8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Наявність турбіни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562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турбіни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7B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79EE747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F2F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3A1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Об'єм двигуна (куб. см)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381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1300 до 1500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117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72EF232" w14:textId="77777777" w:rsidTr="005D4735">
        <w:trPr>
          <w:trHeight w:val="23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76B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483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Потужність (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к.с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118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110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BCF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A95854F" w14:textId="77777777" w:rsidTr="005D4735">
        <w:trPr>
          <w:trHeight w:val="8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574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4D4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циліндрів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959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473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6B4EDDC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055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63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Максимальний крутний момент (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Н.м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</w:p>
          <w:p w14:paraId="6B5DBCA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 менше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0DA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ніж 140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E4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010DB61D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007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A71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Витрата пального, комбінований цикл (л/100 км), не більше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AB2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більше 7,5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6E1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D84D32E" w14:textId="77777777" w:rsidTr="005D4735">
        <w:trPr>
          <w:trHeight w:val="3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21C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54F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Екологічний стандарт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4BC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 5 і вище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D7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A9B17FF" w14:textId="77777777" w:rsidTr="005D473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6C71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Трансмісія і тип приводу</w:t>
            </w:r>
          </w:p>
        </w:tc>
      </w:tr>
      <w:tr w:rsidR="005D4735" w:rsidRPr="00E6385F" w14:paraId="1B4B913A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6F8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7320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Привід коліс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57C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передній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8FE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203384A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29F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0F6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882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5-ти ступенева механічна 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157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AB63145" w14:textId="77777777" w:rsidTr="005D473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371E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Підвіска</w:t>
            </w:r>
          </w:p>
        </w:tc>
      </w:tr>
      <w:tr w:rsidR="005D4735" w:rsidRPr="00E6385F" w14:paraId="0F927EA8" w14:textId="77777777" w:rsidTr="005D4735">
        <w:trPr>
          <w:trHeight w:val="1269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06D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8F9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Передня підвіска - незалежна типу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МcPherson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 з газовими амортизаторами</w:t>
            </w:r>
          </w:p>
          <w:p w14:paraId="30CF690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Задня підвіска - торсіонна напівзалежна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94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0E0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A24FB48" w14:textId="77777777" w:rsidTr="005D473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A649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Системи безпеки</w:t>
            </w:r>
          </w:p>
        </w:tc>
      </w:tr>
      <w:tr w:rsidR="005D4735" w:rsidRPr="00E6385F" w14:paraId="453B72B1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054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329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Передні ремені безпеки з регулюванням по висоті для водія.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5EF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10E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2AF9D00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C50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218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Подушка безпеки водія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B69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08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C7581D0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C2B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FB4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Подушка безпеки переднього пасажира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EFA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1AB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F9A6508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0B6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B48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Дискові гальма всіх коліс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5CA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24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34616CB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D6E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EEA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ESC - електронна система стабілізації руху  </w:t>
            </w:r>
          </w:p>
          <w:p w14:paraId="792065F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ABS -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антиблокувальна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система гальм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D65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186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3E50E74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339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5EB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Система допомоги при русі з гори HDC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410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E23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B51F094" w14:textId="77777777" w:rsidTr="005D4735">
        <w:trPr>
          <w:trHeight w:val="399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540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785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Додатковий світовий сигнал при екстреному гальмуванні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64F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62F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931FBF2" w14:textId="77777777" w:rsidTr="005D4735">
        <w:trPr>
          <w:trHeight w:val="25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3CD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4C5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Центральний замок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801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C2E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852C8E2" w14:textId="77777777" w:rsidTr="005D4735">
        <w:trPr>
          <w:trHeight w:val="1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5F9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D95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Іммобілайзер</w:t>
            </w:r>
            <w:proofErr w:type="spellEnd"/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1FF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264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711E23E" w14:textId="77777777" w:rsidTr="005D4735">
        <w:trPr>
          <w:trHeight w:val="419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593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BDD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Задні ремені безпеки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93F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311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A42A8E1" w14:textId="77777777" w:rsidTr="005D473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3D89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Комфорт</w:t>
            </w:r>
          </w:p>
        </w:tc>
      </w:tr>
      <w:tr w:rsidR="005D4735" w:rsidRPr="00E6385F" w14:paraId="2E2A6DA1" w14:textId="77777777" w:rsidTr="005D4735">
        <w:trPr>
          <w:trHeight w:val="67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A01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A92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Зовнішні дзеркала, що регулюються дистанційно, з підігрівом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629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1D2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928AF74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8FE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952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Система автоматичного вмикання головного світла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36D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52E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495ECA3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C3D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F81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Регулювання керма (телескопічне)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BD3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B04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B694A44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F65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57B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Електропідсилювач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F77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F87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6896A0D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0CC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6AA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Регулювання сидіння водія по висоті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A1D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936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A8D830F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3ED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172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Електросклопідйомники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передні та задні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AEE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854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0F778FB2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B71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6CC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Повітряний фільтр </w:t>
            </w: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системи кондиціонування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3D0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F7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1B50812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49F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D8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Кондиціонер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F17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C29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8069AFF" w14:textId="77777777" w:rsidTr="005D4735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7AB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D3E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Bluetooth</w:t>
            </w:r>
            <w:proofErr w:type="spellEnd"/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B2B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AE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1F724E8" w14:textId="77777777" w:rsidTr="005D4735">
        <w:trPr>
          <w:trHeight w:val="28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F9A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A34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Система контролю тиску в шинах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C19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00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BA1A7DD" w14:textId="77777777" w:rsidTr="005D4735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C0BC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Інтер’єр</w:t>
            </w:r>
          </w:p>
        </w:tc>
      </w:tr>
      <w:tr w:rsidR="005D4735" w:rsidRPr="00E6385F" w14:paraId="4D0A8134" w14:textId="77777777" w:rsidTr="005D4735">
        <w:trPr>
          <w:trHeight w:val="14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B2A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D98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Заднє сидіння, що складається у відношенні 60:40 з трьома підголівниками, що регулюються, з центральним підлокітником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E05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453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DD068B7" w14:textId="77777777" w:rsidTr="005D4735">
        <w:trPr>
          <w:trHeight w:val="1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934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565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Полиця багажного відділення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421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2BB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F9AB874" w14:textId="77777777" w:rsidTr="005D4735">
        <w:trPr>
          <w:trHeight w:val="5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038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441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Оббивка сидінь – тканина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C4F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61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495B21B" w14:textId="77777777" w:rsidTr="005D4735">
        <w:trPr>
          <w:trHeight w:val="1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1627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Екстер’єр</w:t>
            </w:r>
          </w:p>
        </w:tc>
      </w:tr>
      <w:tr w:rsidR="005D4735" w:rsidRPr="00E6385F" w14:paraId="27BCB050" w14:textId="77777777" w:rsidTr="005D4735">
        <w:trPr>
          <w:trHeight w:val="2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8AC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CD6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Зовнішні дзеркала у колір кузова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015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CA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54E60BD" w14:textId="77777777" w:rsidTr="005D4735">
        <w:trPr>
          <w:trHeight w:val="15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BCA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8F4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Повторювачі поворотів у зовнішніх дзеркалах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983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AA5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7D92E57" w14:textId="77777777" w:rsidTr="005D4735">
        <w:trPr>
          <w:trHeight w:val="33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EEA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4FA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Денні ходові вогні (LED)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3CE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C967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FB289F7" w14:textId="77777777" w:rsidTr="005D4735">
        <w:trPr>
          <w:trHeight w:val="12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82B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834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Протитуманній задній ліхтар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DC8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D6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3CAED4A" w14:textId="77777777" w:rsidTr="005D4735">
        <w:trPr>
          <w:trHeight w:val="12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8AE5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359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Зовнішні ручки кольору кузова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460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786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959A024" w14:textId="77777777" w:rsidTr="005D4735">
        <w:trPr>
          <w:trHeight w:val="1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17B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57D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Легкосплавні диски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DD6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DE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89A2E02" w14:textId="77777777" w:rsidTr="005D4735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5F84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Аудіо-система</w:t>
            </w:r>
          </w:p>
        </w:tc>
      </w:tr>
      <w:tr w:rsidR="005D4735" w:rsidRPr="00E6385F" w14:paraId="6D313E94" w14:textId="77777777" w:rsidTr="005D4735">
        <w:trPr>
          <w:trHeight w:val="12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E18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2FD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Кольоровий 9" сенсорний дисплей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touch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screen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(підключення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Mirror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Link</w:t>
            </w:r>
            <w:proofErr w:type="spellEnd"/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48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7FD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6761FD12" w14:textId="77777777" w:rsidTr="005D4735">
        <w:trPr>
          <w:trHeight w:val="16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AA2D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C08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Камера заднього огляду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F95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94C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167577E" w14:textId="77777777" w:rsidTr="005D4735">
        <w:trPr>
          <w:trHeight w:val="15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86C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BDE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 динаміки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49A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FD8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221EB7B" w14:textId="77777777" w:rsidTr="005D4735">
        <w:trPr>
          <w:trHeight w:val="18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7E1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72B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Роз’єм AUX 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334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837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39D611C8" w14:textId="77777777" w:rsidTr="005D4735">
        <w:trPr>
          <w:trHeight w:val="10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AE9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C53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Роз’єми USB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E4C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A44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4C6B8589" w14:textId="77777777" w:rsidTr="005D4735">
        <w:trPr>
          <w:trHeight w:val="16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054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D2D9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Керування аудіо-системою на кермі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C42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бути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0D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07A897F3" w14:textId="77777777" w:rsidTr="005D4735">
        <w:trPr>
          <w:trHeight w:val="1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B528" w14:textId="77777777" w:rsidR="005D4735" w:rsidRPr="00E6385F" w:rsidRDefault="005D4735" w:rsidP="005D47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D4735" w:rsidRPr="00E6385F" w14:paraId="43119E9A" w14:textId="77777777" w:rsidTr="005D4735">
        <w:trPr>
          <w:trHeight w:val="14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05A3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3F8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Стан товару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7E9A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новий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C25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7950FF0C" w14:textId="77777777" w:rsidTr="005D4735">
        <w:trPr>
          <w:trHeight w:val="1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597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8DD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Гарантійні зобов’язання, не менше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2A6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років або </w:t>
            </w:r>
          </w:p>
          <w:p w14:paraId="6AECB5E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100 000 км. пробігу(в залежності від того, що настане раніше). На двигун та трансмісію – 5 років або 150 000 км. пробігу (в залежності від того, що настане раніше)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84D8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2C1682CD" w14:textId="77777777" w:rsidTr="005D4735">
        <w:trPr>
          <w:trHeight w:val="1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727C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41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Регламент ТО-1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566B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1 року або 10 000 км. пробігу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F541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1DA2C070" w14:textId="77777777" w:rsidTr="005D4735">
        <w:trPr>
          <w:trHeight w:val="1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B12F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598D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Рік виробництва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4B44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старше 2021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4FC2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735" w:rsidRPr="00E6385F" w14:paraId="5C85CFEC" w14:textId="77777777" w:rsidTr="005D4735">
        <w:trPr>
          <w:trHeight w:val="1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3EF0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товару: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4426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 (три автомобіля) 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19CE" w14:textId="77777777" w:rsidR="005D4735" w:rsidRPr="00E6385F" w:rsidRDefault="005D4735" w:rsidP="005D47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4735" w:rsidRPr="00E6385F" w14:paraId="0881A3BA" w14:textId="77777777" w:rsidTr="005D4735">
        <w:trPr>
          <w:trHeight w:val="1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8AA5" w14:textId="77777777" w:rsidR="005D4735" w:rsidRPr="00E6385F" w:rsidRDefault="005D4735" w:rsidP="005D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8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Увага. При формуванні пропозиції учасник повинен врахувати, що ціна одного автомобіля (1шт) не може перевищувати 600 тис грн., згідно Постанови КМУ від 4 квітня 2001 р.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бюджет»</w:t>
            </w:r>
          </w:p>
        </w:tc>
      </w:tr>
    </w:tbl>
    <w:p w14:paraId="7072CA7E" w14:textId="77777777" w:rsidR="005D4735" w:rsidRPr="00E6385F" w:rsidRDefault="005D4735" w:rsidP="005D4735">
      <w:pPr>
        <w:shd w:val="clear" w:color="auto" w:fill="FFFFFF"/>
        <w:spacing w:after="0" w:line="240" w:lineRule="auto"/>
        <w:ind w:left="142" w:right="283" w:firstLine="113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62EB5BE4" w14:textId="71F4E837" w:rsidR="005D4735" w:rsidRPr="00E6385F" w:rsidRDefault="005D4735" w:rsidP="005D4735">
      <w:pPr>
        <w:shd w:val="clear" w:color="auto" w:fill="FFFFFF"/>
        <w:spacing w:after="0" w:line="240" w:lineRule="auto"/>
        <w:ind w:left="142" w:right="283" w:firstLine="113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6385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</w:t>
      </w:r>
    </w:p>
    <w:p w14:paraId="06F91EC2" w14:textId="4F0ECC6A" w:rsidR="005D4735" w:rsidRPr="00E6385F" w:rsidRDefault="005D4735" w:rsidP="005D4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E6385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1) </w:t>
      </w:r>
      <w:r w:rsidRPr="00E6385F">
        <w:rPr>
          <w:rFonts w:ascii="Times New Roman" w:hAnsi="Times New Roman" w:cs="Times New Roman"/>
          <w:bCs/>
          <w:sz w:val="24"/>
          <w:szCs w:val="24"/>
          <w:lang w:val="uk-UA"/>
        </w:rPr>
        <w:t>Учасник в складі пропозиціє повинен надати порівняльну табличку із зазначення відповідності запропоновано товару технічним характеристикам, які вимагається Замовником.</w:t>
      </w:r>
      <w:r w:rsidRPr="00E6385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</w:p>
    <w:p w14:paraId="6FBA87A3" w14:textId="1E1DB685" w:rsidR="005D4735" w:rsidRPr="00E6385F" w:rsidRDefault="005D4735" w:rsidP="005D4735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14:paraId="61F26F20" w14:textId="407038D1" w:rsidR="005D4735" w:rsidRPr="00E6385F" w:rsidRDefault="005D4735" w:rsidP="005D473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3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2) </w:t>
      </w:r>
      <w:r w:rsidRPr="00E638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Учасник в складі пропозиціє повинен надати </w:t>
      </w:r>
      <w:r w:rsidRPr="00E63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діючий дилерський договір / або чинний сертифікат на підтвердження, що учасник має статус офіційного дилера виробника запропонованого Товару / або Сертифікат відповідності та Гарантійний лист від учасника, шо автомобіль не був у використанні. </w:t>
      </w:r>
    </w:p>
    <w:p w14:paraId="771E04CA" w14:textId="77777777" w:rsidR="00124573" w:rsidRPr="00E6385F" w:rsidRDefault="00124573" w:rsidP="005D47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AAB803" w14:textId="77777777" w:rsidR="00124573" w:rsidRPr="00E6385F" w:rsidRDefault="00124573" w:rsidP="005D4735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1622408" w14:textId="77777777" w:rsidR="00124573" w:rsidRPr="005D4735" w:rsidRDefault="00124573" w:rsidP="005D473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E6385F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Pr="005D47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7D0D11AE" w14:textId="77777777" w:rsidR="00124573" w:rsidRPr="005D4735" w:rsidRDefault="00124573" w:rsidP="005D47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96C4B0D" w14:textId="77777777" w:rsidR="00124573" w:rsidRPr="005D4735" w:rsidRDefault="00124573" w:rsidP="005D47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C23AC" w14:textId="77777777" w:rsidR="00B32FE2" w:rsidRPr="005D4735" w:rsidRDefault="00B32FE2" w:rsidP="005D47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5D4735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77"/>
    <w:multiLevelType w:val="multilevel"/>
    <w:tmpl w:val="428207D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1474"/>
    <w:multiLevelType w:val="hybridMultilevel"/>
    <w:tmpl w:val="1EDADC96"/>
    <w:lvl w:ilvl="0" w:tplc="C1E2B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90313"/>
    <w:multiLevelType w:val="hybridMultilevel"/>
    <w:tmpl w:val="41C8F900"/>
    <w:lvl w:ilvl="0" w:tplc="F2600E2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3"/>
  </w:num>
  <w:num w:numId="2" w16cid:durableId="2009018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7"/>
  </w:num>
  <w:num w:numId="4" w16cid:durableId="183059774">
    <w:abstractNumId w:val="2"/>
  </w:num>
  <w:num w:numId="5" w16cid:durableId="971401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320500">
    <w:abstractNumId w:val="6"/>
  </w:num>
  <w:num w:numId="7" w16cid:durableId="398747810">
    <w:abstractNumId w:val="4"/>
  </w:num>
  <w:num w:numId="8" w16cid:durableId="9128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30E43"/>
    <w:rsid w:val="00046B5A"/>
    <w:rsid w:val="0006250D"/>
    <w:rsid w:val="000812C1"/>
    <w:rsid w:val="00091204"/>
    <w:rsid w:val="000D2334"/>
    <w:rsid w:val="000D2A5C"/>
    <w:rsid w:val="000E4DD6"/>
    <w:rsid w:val="00117CAE"/>
    <w:rsid w:val="00124573"/>
    <w:rsid w:val="0013685D"/>
    <w:rsid w:val="00153A41"/>
    <w:rsid w:val="001D427D"/>
    <w:rsid w:val="001E4E67"/>
    <w:rsid w:val="00212789"/>
    <w:rsid w:val="0026058D"/>
    <w:rsid w:val="002A3668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D1318"/>
    <w:rsid w:val="003E097A"/>
    <w:rsid w:val="003E1695"/>
    <w:rsid w:val="003E2E3C"/>
    <w:rsid w:val="00411DFB"/>
    <w:rsid w:val="00460A76"/>
    <w:rsid w:val="004700B7"/>
    <w:rsid w:val="00470953"/>
    <w:rsid w:val="004A38F2"/>
    <w:rsid w:val="004A61F7"/>
    <w:rsid w:val="004B26D2"/>
    <w:rsid w:val="004C0A6B"/>
    <w:rsid w:val="005109E6"/>
    <w:rsid w:val="005464AE"/>
    <w:rsid w:val="00556F99"/>
    <w:rsid w:val="005D4735"/>
    <w:rsid w:val="00624651"/>
    <w:rsid w:val="0069011F"/>
    <w:rsid w:val="00690C4F"/>
    <w:rsid w:val="00696B1F"/>
    <w:rsid w:val="006D48A1"/>
    <w:rsid w:val="006E0537"/>
    <w:rsid w:val="006F6187"/>
    <w:rsid w:val="00723BAC"/>
    <w:rsid w:val="00783074"/>
    <w:rsid w:val="00785D25"/>
    <w:rsid w:val="007A45BF"/>
    <w:rsid w:val="007D5D2E"/>
    <w:rsid w:val="00810983"/>
    <w:rsid w:val="00893BD3"/>
    <w:rsid w:val="008B6C03"/>
    <w:rsid w:val="008C112E"/>
    <w:rsid w:val="009071EF"/>
    <w:rsid w:val="00944E4A"/>
    <w:rsid w:val="009705CA"/>
    <w:rsid w:val="009A2C4B"/>
    <w:rsid w:val="009A6E02"/>
    <w:rsid w:val="009C6CAB"/>
    <w:rsid w:val="009D5E95"/>
    <w:rsid w:val="009F7802"/>
    <w:rsid w:val="00A24967"/>
    <w:rsid w:val="00A7594F"/>
    <w:rsid w:val="00AD0FFA"/>
    <w:rsid w:val="00AF64A0"/>
    <w:rsid w:val="00B04E76"/>
    <w:rsid w:val="00B132FA"/>
    <w:rsid w:val="00B32FE2"/>
    <w:rsid w:val="00B357BE"/>
    <w:rsid w:val="00B36F10"/>
    <w:rsid w:val="00B40FC0"/>
    <w:rsid w:val="00BA63F8"/>
    <w:rsid w:val="00BF18CD"/>
    <w:rsid w:val="00C04BDF"/>
    <w:rsid w:val="00CC4446"/>
    <w:rsid w:val="00CD181A"/>
    <w:rsid w:val="00D071DF"/>
    <w:rsid w:val="00D369B4"/>
    <w:rsid w:val="00D60521"/>
    <w:rsid w:val="00D71801"/>
    <w:rsid w:val="00D8684A"/>
    <w:rsid w:val="00D95A87"/>
    <w:rsid w:val="00DA01E8"/>
    <w:rsid w:val="00E569B8"/>
    <w:rsid w:val="00E6385F"/>
    <w:rsid w:val="00E758D4"/>
    <w:rsid w:val="00E9376C"/>
    <w:rsid w:val="00E955EB"/>
    <w:rsid w:val="00EB17EC"/>
    <w:rsid w:val="00EE520F"/>
    <w:rsid w:val="00EF7196"/>
    <w:rsid w:val="00F0734D"/>
    <w:rsid w:val="00F10E0F"/>
    <w:rsid w:val="00F25518"/>
    <w:rsid w:val="00F2788B"/>
    <w:rsid w:val="00F90F5D"/>
    <w:rsid w:val="00FA4A1E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0">
    <w:name w:val="Основний текст1"/>
    <w:basedOn w:val="a"/>
    <w:rsid w:val="000D2334"/>
    <w:pPr>
      <w:suppressAutoHyphens/>
      <w:spacing w:after="140" w:line="288" w:lineRule="auto"/>
    </w:pPr>
    <w:rPr>
      <w:rFonts w:ascii="Liberation Serif" w:eastAsia="Times New Roman" w:hAnsi="Liberation Serif" w:cs="Liberation Serif"/>
      <w:color w:val="00000A"/>
      <w:sz w:val="21"/>
      <w:szCs w:val="20"/>
      <w:lang w:val="x-none" w:eastAsia="zh-CN"/>
    </w:rPr>
  </w:style>
  <w:style w:type="table" w:styleId="-16">
    <w:name w:val="Grid Table 1 Light Accent 6"/>
    <w:basedOn w:val="a1"/>
    <w:uiPriority w:val="46"/>
    <w:rsid w:val="000D23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55</cp:revision>
  <dcterms:created xsi:type="dcterms:W3CDTF">2018-08-23T06:49:00Z</dcterms:created>
  <dcterms:modified xsi:type="dcterms:W3CDTF">2023-03-28T07:01:00Z</dcterms:modified>
</cp:coreProperties>
</file>