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right"/>
        <w:rPr>
          <w:rFonts w:ascii="Times New Roman" w:hAnsi="Times New Roman"/>
          <w:b/>
          <w:bCs/>
          <w:sz w:val="24"/>
          <w:szCs w:val="24"/>
        </w:rPr>
      </w:pPr>
      <w:r>
        <w:rPr>
          <w:rFonts w:ascii="Times New Roman" w:hAnsi="Times New Roman"/>
          <w:b/>
          <w:bCs/>
          <w:sz w:val="24"/>
          <w:szCs w:val="24"/>
        </w:rPr>
        <w:t>ДОДАТОК №2</w:t>
      </w:r>
    </w:p>
    <w:p>
      <w:pPr>
        <w:spacing w:after="0" w:line="240" w:lineRule="auto"/>
        <w:jc w:val="right"/>
        <w:rPr>
          <w:rFonts w:ascii="Times New Roman" w:hAnsi="Times New Roman"/>
          <w:b/>
          <w:bCs/>
          <w:sz w:val="24"/>
          <w:szCs w:val="24"/>
        </w:rPr>
      </w:pPr>
      <w:r>
        <w:rPr>
          <w:rFonts w:ascii="Times New Roman" w:hAnsi="Times New Roman"/>
          <w:b/>
          <w:bCs/>
          <w:sz w:val="24"/>
          <w:szCs w:val="24"/>
        </w:rPr>
        <w:t>до Тендерної документації</w:t>
      </w:r>
    </w:p>
    <w:p>
      <w:pPr>
        <w:spacing w:after="0" w:line="240" w:lineRule="auto"/>
        <w:contextualSpacing/>
        <w:jc w:val="center"/>
        <w:rPr>
          <w:rFonts w:ascii="Times New Roman" w:hAnsi="Times New Roman"/>
          <w:b/>
          <w:bCs/>
          <w:sz w:val="28"/>
          <w:szCs w:val="24"/>
        </w:rPr>
      </w:pPr>
      <w:r>
        <w:rPr>
          <w:rFonts w:ascii="Times New Roman" w:hAnsi="Times New Roman"/>
          <w:b/>
          <w:bCs/>
          <w:sz w:val="28"/>
          <w:szCs w:val="24"/>
        </w:rPr>
        <w:t>Технічна специфікація</w:t>
      </w:r>
    </w:p>
    <w:p>
      <w:pPr>
        <w:spacing w:after="0" w:line="240" w:lineRule="auto"/>
        <w:contextualSpacing/>
        <w:jc w:val="center"/>
        <w:rPr>
          <w:rFonts w:ascii="Times New Roman" w:eastAsia="Times New Roman" w:hAnsi="Times New Roman" w:cs="Times New Roman"/>
          <w:sz w:val="28"/>
          <w:szCs w:val="24"/>
        </w:rPr>
      </w:pPr>
    </w:p>
    <w:p>
      <w:pPr>
        <w:spacing w:after="0"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pPr>
        <w:spacing w:after="0" w:line="240" w:lineRule="auto"/>
        <w:contextualSpacing/>
        <w:jc w:val="center"/>
        <w:rPr>
          <w:rFonts w:ascii="Times New Roman" w:eastAsia="Times New Roman" w:hAnsi="Times New Roman" w:cs="Times New Roman"/>
          <w:b/>
          <w:i/>
          <w:sz w:val="4"/>
          <w:szCs w:val="4"/>
        </w:rPr>
      </w:pPr>
    </w:p>
    <w:p>
      <w:pPr>
        <w:spacing w:after="0"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pPr>
        <w:spacing w:after="0" w:line="240" w:lineRule="auto"/>
        <w:contextualSpacing/>
        <w:rPr>
          <w:rFonts w:ascii="Times New Roman" w:eastAsia="Times New Roman" w:hAnsi="Times New Roman" w:cs="Times New Roman"/>
          <w:i/>
          <w:sz w:val="24"/>
          <w:szCs w:val="24"/>
          <w:highlight w:val="white"/>
        </w:rPr>
      </w:pPr>
    </w:p>
    <w:tbl>
      <w:tblPr>
        <w:tblW w:w="9923" w:type="dxa"/>
        <w:tblInd w:w="-152" w:type="dxa"/>
        <w:tblLayout w:type="fixed"/>
        <w:tblLook w:val="0600" w:firstRow="0" w:lastRow="0" w:firstColumn="0" w:lastColumn="0" w:noHBand="1" w:noVBand="1"/>
      </w:tblPr>
      <w:tblGrid>
        <w:gridCol w:w="2095"/>
        <w:gridCol w:w="7828"/>
      </w:tblGrid>
      <w:tr>
        <w:trPr>
          <w:trHeight w:val="674"/>
        </w:trPr>
        <w:tc>
          <w:tcPr>
            <w:tcW w:w="2095" w:type="dxa"/>
            <w:shd w:val="clear" w:color="auto" w:fill="auto"/>
            <w:tcMar>
              <w:top w:w="100" w:type="dxa"/>
              <w:left w:w="100" w:type="dxa"/>
              <w:bottom w:w="100" w:type="dxa"/>
              <w:right w:w="100" w:type="dxa"/>
            </w:tcMar>
          </w:tcPr>
          <w:p>
            <w:pPr>
              <w:widowControl w:val="0"/>
              <w:spacing w:after="0" w:line="240" w:lineRule="auto"/>
              <w:contextualSpacing/>
              <w:rPr>
                <w:rFonts w:ascii="Times New Roman" w:eastAsia="Times New Roman" w:hAnsi="Times New Roman" w:cs="Times New Roman"/>
                <w:i/>
                <w:iCs/>
                <w:sz w:val="24"/>
                <w:szCs w:val="24"/>
                <w:highlight w:val="white"/>
                <w:u w:val="single"/>
              </w:rPr>
            </w:pPr>
            <w:r>
              <w:rPr>
                <w:rFonts w:ascii="Times New Roman" w:eastAsia="Times New Roman" w:hAnsi="Times New Roman" w:cs="Times New Roman"/>
                <w:i/>
                <w:iCs/>
                <w:sz w:val="24"/>
                <w:szCs w:val="24"/>
                <w:highlight w:val="white"/>
                <w:u w:val="single"/>
              </w:rPr>
              <w:t>Назва предмета закупівлі:</w:t>
            </w:r>
          </w:p>
        </w:tc>
        <w:tc>
          <w:tcPr>
            <w:tcW w:w="7828" w:type="dxa"/>
            <w:shd w:val="clear" w:color="auto" w:fill="auto"/>
            <w:tcMar>
              <w:top w:w="100" w:type="dxa"/>
              <w:left w:w="100" w:type="dxa"/>
              <w:bottom w:w="100" w:type="dxa"/>
              <w:right w:w="100" w:type="dxa"/>
            </w:tcMar>
          </w:tcPr>
          <w:p>
            <w:pPr>
              <w:widowControl w:val="0"/>
              <w:spacing w:after="0" w:line="240" w:lineRule="auto"/>
              <w:contextualSpacing/>
              <w:jc w:val="both"/>
              <w:rPr>
                <w:rFonts w:ascii="Times New Roman" w:eastAsia="Times New Roman" w:hAnsi="Times New Roman" w:cs="Times New Roman"/>
                <w:b/>
                <w:sz w:val="24"/>
                <w:szCs w:val="24"/>
              </w:rPr>
            </w:pPr>
            <w:bookmarkStart w:id="0" w:name="_Hlk148514878"/>
            <w:r>
              <w:rPr>
                <w:rFonts w:ascii="Times New Roman" w:eastAsia="Times New Roman" w:hAnsi="Times New Roman" w:cs="Times New Roman"/>
                <w:b/>
                <w:sz w:val="24"/>
                <w:szCs w:val="24"/>
              </w:rPr>
              <w:t>Капітальний ремонт приміщення (адміністративного блоку) Рівненського міського центру комплексної реабілітації осіб та дітей з інваліднісю з порушенням опорно-рухового апарату «Крок» по вул. Чорновола, 40/56 в м. Рівне</w:t>
            </w:r>
            <w:bookmarkEnd w:id="0"/>
            <w:r>
              <w:rPr>
                <w:rFonts w:ascii="Times New Roman" w:eastAsia="Times New Roman" w:hAnsi="Times New Roman" w:cs="Times New Roman"/>
                <w:b/>
                <w:sz w:val="24"/>
                <w:szCs w:val="24"/>
              </w:rPr>
              <w:t>. Коригу</w:t>
            </w:r>
            <w:bookmarkStart w:id="1" w:name="_GoBack"/>
            <w:bookmarkEnd w:id="1"/>
            <w:r>
              <w:rPr>
                <w:rFonts w:ascii="Times New Roman" w:eastAsia="Times New Roman" w:hAnsi="Times New Roman" w:cs="Times New Roman"/>
                <w:b/>
                <w:sz w:val="24"/>
                <w:szCs w:val="24"/>
              </w:rPr>
              <w:t>вання.</w:t>
            </w:r>
          </w:p>
        </w:tc>
      </w:tr>
      <w:tr>
        <w:tc>
          <w:tcPr>
            <w:tcW w:w="2095" w:type="dxa"/>
            <w:shd w:val="clear" w:color="auto" w:fill="auto"/>
            <w:tcMar>
              <w:top w:w="100" w:type="dxa"/>
              <w:left w:w="100" w:type="dxa"/>
              <w:bottom w:w="100" w:type="dxa"/>
              <w:right w:w="100" w:type="dxa"/>
            </w:tcMar>
          </w:tcPr>
          <w:p>
            <w:pPr>
              <w:widowControl w:val="0"/>
              <w:spacing w:after="0" w:line="240" w:lineRule="auto"/>
              <w:contextualSpacing/>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Код ДК 021:2015:</w:t>
            </w:r>
          </w:p>
        </w:tc>
        <w:tc>
          <w:tcPr>
            <w:tcW w:w="7828" w:type="dxa"/>
            <w:shd w:val="clear" w:color="auto" w:fill="auto"/>
            <w:tcMar>
              <w:top w:w="100" w:type="dxa"/>
              <w:left w:w="100" w:type="dxa"/>
              <w:bottom w:w="100" w:type="dxa"/>
              <w:right w:w="100" w:type="dxa"/>
            </w:tcMar>
          </w:tcPr>
          <w:p>
            <w:pPr>
              <w:widowControl w:val="0"/>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45453000-7 — Капітальний ремонт і реставрація</w:t>
            </w:r>
          </w:p>
        </w:tc>
      </w:tr>
    </w:tbl>
    <w:p>
      <w:pPr>
        <w:spacing w:after="0" w:line="240" w:lineRule="auto"/>
        <w:contextualSpacing/>
        <w:rPr>
          <w:rFonts w:ascii="Times New Roman" w:eastAsia="Times New Roman" w:hAnsi="Times New Roman" w:cs="Times New Roman"/>
          <w:i/>
          <w:sz w:val="24"/>
          <w:szCs w:val="24"/>
        </w:rPr>
      </w:pP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hAnsi="Times New Roman" w:cs="Times New Roman"/>
          <w:sz w:val="24"/>
          <w:szCs w:val="24"/>
        </w:rPr>
        <w:t>Умови виконання робіт:</w:t>
      </w:r>
      <w:r>
        <w:rPr>
          <w:rFonts w:ascii="Times New Roman" w:hAnsi="Times New Roman" w:cs="Times New Roman"/>
          <w:b/>
          <w:sz w:val="24"/>
          <w:szCs w:val="24"/>
        </w:rPr>
        <w:t xml:space="preserve"> </w:t>
      </w:r>
      <w:r>
        <w:rPr>
          <w:rFonts w:ascii="Times New Roman" w:hAnsi="Times New Roman" w:cs="Times New Roman"/>
          <w:sz w:val="24"/>
          <w:szCs w:val="24"/>
        </w:rPr>
        <w:t>нормальні,</w:t>
      </w:r>
      <w:r>
        <w:rPr>
          <w:rFonts w:ascii="Times New Roman" w:hAnsi="Times New Roman" w:cs="Times New Roman"/>
          <w:b/>
          <w:sz w:val="24"/>
          <w:szCs w:val="24"/>
        </w:rPr>
        <w:t xml:space="preserve"> </w:t>
      </w:r>
      <w:r>
        <w:rPr>
          <w:rFonts w:ascii="Times New Roman" w:hAnsi="Times New Roman" w:cs="Times New Roman"/>
          <w:spacing w:val="-3"/>
          <w:sz w:val="24"/>
          <w:szCs w:val="24"/>
        </w:rPr>
        <w:t>в будівлі, що експлуатується.</w:t>
      </w: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Обладнання та матеріали, які будуть використовуватись Учасником для виконання робіт/надання послуг по цій закупівлі, повинно бути новим. Гарантійний термін на обладнання повинен бути не менше 12 календарних місяців. </w:t>
      </w:r>
    </w:p>
    <w:p>
      <w:pPr>
        <w:pStyle w:val="af5"/>
        <w:widowControl w:val="0"/>
        <w:autoSpaceDE w:val="0"/>
        <w:autoSpaceDN w:val="0"/>
        <w:adjustRightInd w:val="0"/>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Все обладнання та матеріали повинні бути якісними та дозволеними для використання в Україні і мати сертифікати якості, висновки, якість повинна відповідати діючим нормам і стандартам для даного виду обладнання та матеріалів. Відповідальність за якість обладнання та матеріалів несе Учасник. </w:t>
      </w:r>
    </w:p>
    <w:p>
      <w:pPr>
        <w:pStyle w:val="af5"/>
        <w:spacing w:after="0" w:line="240" w:lineRule="auto"/>
        <w:ind w:left="0" w:firstLine="70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3. Учасник визначає ціну на роботи/послуги, які він пропонує виконати за Договором по даній закупівлі,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Технічні, якісні характеристики предмета закупівлі повинні передбачати необхідність застосування заходів із захисту довкілля. </w:t>
      </w: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Термін виконання робіт/надання послуг – з моменту укладання договору </w:t>
      </w:r>
      <w:r>
        <w:rPr>
          <w:rFonts w:ascii="Times New Roman" w:eastAsia="Times New Roman" w:hAnsi="Times New Roman" w:cs="Times New Roman"/>
          <w:b/>
          <w:sz w:val="24"/>
          <w:szCs w:val="24"/>
        </w:rPr>
        <w:t>до 31 грудня 2024 року</w:t>
      </w:r>
      <w:r>
        <w:rPr>
          <w:rFonts w:ascii="Times New Roman" w:eastAsia="Times New Roman" w:hAnsi="Times New Roman" w:cs="Times New Roman"/>
          <w:sz w:val="24"/>
          <w:szCs w:val="24"/>
        </w:rPr>
        <w:t xml:space="preserve"> або до повного виконання сторонами договірних зобов’язань.</w:t>
      </w: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Для підтвердження відповідності пропозиції учасника технічним, якісним та кількісним характеристикам до предмета закупівлі, встановленим замовником, учасник до кінцевого строку подання пропозицій повинен надати протокол узгодження договірної ціни та підтверджуючі розрахунки, відповідно до своєї початкової ціни за статтями витрат договірної ціни (у форматі pdf/jpg та ims/imd та ibs/idc):</w:t>
      </w: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пропозиції (динамічна договірна ціна);</w:t>
      </w: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пояснювальна записка;</w:t>
      </w: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локальні кошториси;</w:t>
      </w: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розрахунок заробітної плати, який повинен бути виконаний згідно з Порядком розрахунку розміру кошторисної заробітної плати, який враховується при визначенні вартості будівництва об’єктів, затвердженим наказом Мінрегіону від 20.10.2016 № 281 та зареєстрованим у Мінюсті 11.11.2016 № 1469/29599 (зі змінами);</w:t>
      </w: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розрахунок вартості матеріальних ресурсів (відомість ресурсів);</w:t>
      </w: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розрахунок вартості експлуатації будівельних машин і механізмів;</w:t>
      </w: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розрахунок загальновиробничих та адміністративних витрат (виходячи з структури будівельної організації);</w:t>
      </w: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розрахунок коштів на покриття адміністративних витрат будівельно-монтажних організацій; </w:t>
      </w: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розрахунок додаткових витрат, пов’язаних з інфляційними процесами;</w:t>
      </w: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розрахунок прибутку;</w:t>
      </w: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розрахунок у програмному комплексі АВК/ІВК або іншому, що взаємодіє з АВК-5 в частині передачі даних.</w:t>
      </w: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А також для підтвердження відповідності пропозиції  учасника технічним, якісним, кількісним та іншим вимогам до предмета закупівлі надати ліцензію на виконання робіт зазначених в технічній специфікації з додатком(ками) до неї (Клас наслідків (відповідальності) об’єкта – СС1).</w:t>
      </w:r>
    </w:p>
    <w:p>
      <w:pPr>
        <w:pStyle w:val="21"/>
        <w:spacing w:after="0" w:line="240" w:lineRule="auto"/>
        <w:ind w:firstLine="709"/>
        <w:contextualSpacing/>
        <w:jc w:val="both"/>
      </w:pPr>
      <w:r>
        <w:t>В складі пропозиції повинен надати копії дозвільних документів на виконання робіт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що передбачені технічним завданням (Роботи, що виконуються на висоті понад 1,3 метра, Вантажно-розвантажувальні роботи за допомогою машин і механізмів; зведення, монтаж, демонтаж будинків, споруд, а також зміцнення їх аварійних частин, зварювальні роботи, земляні роботи, що виконуються на глибині понад 2 метри або в зоні розташування підземних комунікацій чи під водою):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p>
    <w:p>
      <w:pPr>
        <w:pStyle w:val="21"/>
        <w:spacing w:after="0" w:line="240" w:lineRule="auto"/>
        <w:ind w:firstLine="709"/>
        <w:contextualSpacing/>
        <w:jc w:val="both"/>
      </w:pPr>
      <w:r>
        <w:t>Даний дозвіл/декларація повинен бути виданий на ім’я учасника та бути дійсним на момент його подання.</w:t>
      </w:r>
    </w:p>
    <w:p>
      <w:pPr>
        <w:pStyle w:val="21"/>
        <w:spacing w:after="0" w:line="240" w:lineRule="auto"/>
        <w:ind w:firstLine="709"/>
        <w:contextualSpacing/>
        <w:jc w:val="both"/>
      </w:pPr>
      <w:r>
        <w:t>- оригінал або завірену копію декларації відповідності матеріально-технічної бази суб’єкта господарювання вимогам законодавства з питань пожежної безпеки, зареєстровану відповідно до чинного законодавства.</w:t>
      </w: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проведення розрахунків договірної для участі у тендері, Учаснику надається можливість оглянути об'єкт, де передбачається виконання робіт згідно тендерної документації. За результатами відвідування складається акт обстеження об’єкта, який підписується уповноваженими особами Замовника та Учасника і подається останнім у складі пропозиції. Витрати на відвідування об’єкту Учасник несе за власні кошти. Місце знаходження об’єкту: вул. Чорновола, 40/56 в м. Рівне, Рівненської області, 33028. В акті обстеження має бути посилання на ідентифікатор закупівлі.</w:t>
      </w:r>
    </w:p>
    <w:p>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підтвердити наявність в нього програмного забезпечення АВК-5 (або аналог). На підтвердження наявності сертифікованого програмного забезпечення учасник має надати ліцензію на програмний комплекс в якому здійснюються відповідні розрахунки виконання робіт/надання послуг та ліцензійний договір на використання Учасником такого програмного забезпечення.</w:t>
      </w:r>
    </w:p>
    <w:p>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відповідності тендерної пропозиції технічним, якісним характеристикам учасник повинен надати в складі пропозиції сертифікат ISO 9001:2015 (ISO 9001:2015, IDT) «Системи управління якістю. Вимоги», що засвідчує використання учасником системи управління якості, який виданий учаснику відповідним сертифікованим центром, що охоплює наступні сфери сертифікації: будівельні роботи, інші будівельно-монтажні роботи; сертифікат відповідності системи екологічного управління вимогам міжнародного стандарту ДСТУ ISO 14001:2015 «Системи екологічного управління. Вимоги та настанови щодо застосування»</w:t>
      </w:r>
      <w:r>
        <w:t xml:space="preserve"> </w:t>
      </w:r>
      <w:r>
        <w:rPr>
          <w:rFonts w:ascii="Times New Roman" w:eastAsia="Times New Roman" w:hAnsi="Times New Roman" w:cs="Times New Roman"/>
          <w:sz w:val="24"/>
          <w:szCs w:val="24"/>
        </w:rPr>
        <w:t>(ISO 14001:2015, IDT), який виданий учаснику відповідним сертифікованим центром, що охоплює наступні сфери сертифікації: будівельні роботи, інші будівельно-монтажні роботи; сертифікат  ДСТУ ISO 45001:2019, виданого учаснику, що засвідчує використання ним системи менеджменту охорони здоров’я та безпекою праці стосовно</w:t>
      </w:r>
      <w:r>
        <w:t xml:space="preserve"> </w:t>
      </w:r>
      <w:r>
        <w:rPr>
          <w:rFonts w:ascii="Times New Roman" w:eastAsia="Times New Roman" w:hAnsi="Times New Roman" w:cs="Times New Roman"/>
          <w:sz w:val="24"/>
          <w:szCs w:val="24"/>
        </w:rPr>
        <w:t>наступних сфер сертифікації: будівельні роботи, інші будівельно-монтажні роботи; сертифікат на систему інжиніринг пожежної безпеки, який виданий учаснику відповідним сертифікованим центром та посвідчує, що учасник здійснює господарську діяльність згідно з чинними нормативними документами і відповідає вимогам ДСТУ ISO 23932:2018 (ISO 23932:2009, IDT) «Інжиніринг пожежної безпеки. Загальні принципи»; сертифікат  ДСТУ ISO 37001, що засвідчує використання учасником систему управління щодо протидії корупції, які видані Учаснику та чинні станом на дату подання тендерної пропозиції.</w:t>
      </w:r>
    </w:p>
    <w:p>
      <w:pPr>
        <w:pStyle w:val="21"/>
        <w:spacing w:after="0" w:line="240" w:lineRule="auto"/>
        <w:ind w:firstLine="709"/>
        <w:contextualSpacing/>
        <w:jc w:val="both"/>
      </w:pPr>
      <w:r>
        <w:t>Учасники повинні підтвердити спроможність збирання, перевезення та утилізації небезпечних відходів, що утворюються в процесі будівництва, шляхом надання копії відповідної ліцензії виданої Міністерством екології та природних ресурсів України, у випадку залучення для цього сторонніх осіб на договірних чи інших засадах, надається копія відповідного договору з додавання копії вищезазначеної ліцензії.</w:t>
      </w:r>
    </w:p>
    <w:p>
      <w:pPr>
        <w:pStyle w:val="21"/>
        <w:spacing w:after="0" w:line="240" w:lineRule="auto"/>
        <w:ind w:firstLine="709"/>
        <w:contextualSpacing/>
        <w:jc w:val="both"/>
      </w:pPr>
      <w:r>
        <w:lastRenderedPageBreak/>
        <w:t>Ціна тендерної пропозиції повинна враховувати усі податки, збори, обов’язкові платежі, що сплачуються або мають бути сплачені стосовно предмету закупівлі. Ціна тендерної пропозиції (договірна ціна) повинна бути сформована (розрахована) відповідно до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зі змінами та доповненнями. При розрахунку ціни враховується ціна предмету закупівлі відповідно до цієї Тендерної документації та всі витрати, пов’язані з виконанням зобов’язань учасника закупівлі по виконанню договору (ПДВ, прямі витрати, адміністративні та загальновиробничі витрати та інше), а також прибуток, який учасник планує одержати при виконанні договору.</w:t>
      </w:r>
    </w:p>
    <w:p>
      <w:pPr>
        <w:spacing w:after="0" w:line="240" w:lineRule="auto"/>
        <w:ind w:firstLine="125"/>
        <w:contextualSpacing/>
        <w:rPr>
          <w:rFonts w:ascii="Times New Roman" w:hAnsi="Times New Roman"/>
          <w:i/>
          <w:iCs/>
          <w:sz w:val="24"/>
          <w:szCs w:val="24"/>
        </w:rPr>
      </w:pPr>
      <w:r>
        <w:rPr>
          <w:rFonts w:ascii="Times New Roman" w:hAnsi="Times New Roman"/>
          <w:i/>
          <w:iCs/>
          <w:sz w:val="24"/>
          <w:szCs w:val="24"/>
        </w:rPr>
        <w:t>Примітки:</w:t>
      </w:r>
    </w:p>
    <w:p>
      <w:pPr>
        <w:spacing w:after="0" w:line="240" w:lineRule="auto"/>
        <w:ind w:firstLine="125"/>
        <w:contextualSpacing/>
        <w:jc w:val="both"/>
        <w:rPr>
          <w:rFonts w:ascii="Times New Roman" w:hAnsi="Times New Roman"/>
          <w:i/>
          <w:sz w:val="24"/>
          <w:szCs w:val="24"/>
        </w:rPr>
      </w:pPr>
      <w:r>
        <w:rPr>
          <w:rFonts w:ascii="Times New Roman" w:hAnsi="Times New Roman"/>
          <w:i/>
          <w:iCs/>
          <w:sz w:val="24"/>
          <w:szCs w:val="24"/>
        </w:rPr>
        <w:t xml:space="preserve"> </w:t>
      </w:r>
      <w:r>
        <w:rPr>
          <w:rFonts w:ascii="Times New Roman" w:hAnsi="Times New Roman"/>
          <w:i/>
          <w:sz w:val="24"/>
          <w:szCs w:val="24"/>
        </w:rPr>
        <w:t>- у разі, якщо законодавством не передбачено надання дозвільних документів на виконання даного виду робіт/послуг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pPr>
        <w:spacing w:after="0" w:line="240" w:lineRule="auto"/>
        <w:ind w:firstLine="125"/>
        <w:contextualSpacing/>
        <w:jc w:val="both"/>
        <w:rPr>
          <w:rFonts w:ascii="Times New Roman" w:hAnsi="Times New Roman"/>
          <w:i/>
          <w:sz w:val="24"/>
          <w:szCs w:val="24"/>
        </w:rPr>
      </w:pPr>
      <w:r>
        <w:rPr>
          <w:rFonts w:ascii="Times New Roman" w:hAnsi="Times New Roman"/>
          <w:i/>
          <w:sz w:val="24"/>
          <w:szCs w:val="24"/>
        </w:rPr>
        <w:t>- у разі, якщо законодавством не передбачено надання дозвільних документів на експлуатацію машин, механізмів, устаткування підвищеної небезпеки, які будуть використовуватись учасником при наданні послуг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pPr>
        <w:pStyle w:val="21"/>
        <w:spacing w:after="0" w:line="240" w:lineRule="auto"/>
        <w:ind w:firstLine="709"/>
        <w:contextualSpacing/>
        <w:jc w:val="both"/>
      </w:pPr>
    </w:p>
    <w:p>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Об’єми робіт, матеріалів та обладнання:</w:t>
      </w:r>
    </w:p>
    <w:p>
      <w:pPr>
        <w:shd w:val="clear" w:color="auto" w:fill="FFFFFF"/>
        <w:tabs>
          <w:tab w:val="left" w:pos="993"/>
        </w:tabs>
        <w:spacing w:after="0" w:line="240" w:lineRule="auto"/>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Відомість обсягів робіт</w:t>
      </w:r>
    </w:p>
    <w:tbl>
      <w:tblPr>
        <w:tblW w:w="10194" w:type="dxa"/>
        <w:jc w:val="center"/>
        <w:tblLayout w:type="fixed"/>
        <w:tblCellMar>
          <w:left w:w="28" w:type="dxa"/>
          <w:right w:w="28" w:type="dxa"/>
        </w:tblCellMar>
        <w:tblLook w:val="0000" w:firstRow="0" w:lastRow="0" w:firstColumn="0" w:lastColumn="0" w:noHBand="0" w:noVBand="0"/>
      </w:tblPr>
      <w:tblGrid>
        <w:gridCol w:w="592"/>
        <w:gridCol w:w="5449"/>
        <w:gridCol w:w="1355"/>
        <w:gridCol w:w="1559"/>
        <w:gridCol w:w="1239"/>
      </w:tblGrid>
      <w:tr>
        <w:trPr>
          <w:jc w:val="center"/>
        </w:trPr>
        <w:tc>
          <w:tcPr>
            <w:tcW w:w="592" w:type="dxa"/>
            <w:tcBorders>
              <w:top w:val="single" w:sz="12" w:space="0" w:color="auto"/>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449" w:type="dxa"/>
            <w:tcBorders>
              <w:top w:val="single" w:sz="12" w:space="0" w:color="auto"/>
              <w:left w:val="nil"/>
              <w:bottom w:val="nil"/>
              <w:right w:val="nil"/>
            </w:tcBorders>
            <w:vAlign w:val="center"/>
          </w:tcPr>
          <w:p>
            <w:pPr>
              <w:keepLines/>
              <w:autoSpaceDE w:val="0"/>
              <w:autoSpaceDN w:val="0"/>
              <w:spacing w:after="0" w:line="240" w:lineRule="auto"/>
              <w:jc w:val="center"/>
              <w:rPr>
                <w:rFonts w:ascii="Arial" w:hAnsi="Arial" w:cs="Arial"/>
                <w:spacing w:val="-3"/>
                <w:sz w:val="20"/>
                <w:szCs w:val="20"/>
              </w:rPr>
            </w:pP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та витрат</w:t>
            </w:r>
          </w:p>
        </w:tc>
        <w:tc>
          <w:tcPr>
            <w:tcW w:w="1355" w:type="dxa"/>
            <w:tcBorders>
              <w:top w:val="single" w:sz="12" w:space="0" w:color="auto"/>
              <w:left w:val="single" w:sz="4" w:space="0" w:color="auto"/>
              <w:bottom w:val="nil"/>
              <w:right w:val="nil"/>
            </w:tcBorders>
            <w:vAlign w:val="center"/>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559" w:type="dxa"/>
            <w:tcBorders>
              <w:top w:val="single" w:sz="12" w:space="0" w:color="auto"/>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239" w:type="dxa"/>
            <w:tcBorders>
              <w:top w:val="single" w:sz="12" w:space="0" w:color="auto"/>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trPr>
          <w:jc w:val="center"/>
        </w:trPr>
        <w:tc>
          <w:tcPr>
            <w:tcW w:w="592" w:type="dxa"/>
            <w:tcBorders>
              <w:top w:val="single" w:sz="4" w:space="0" w:color="auto"/>
              <w:left w:val="single" w:sz="12" w:space="0" w:color="auto"/>
              <w:bottom w:val="single" w:sz="4" w:space="0" w:color="auto"/>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449" w:type="dxa"/>
            <w:tcBorders>
              <w:top w:val="single" w:sz="4" w:space="0" w:color="auto"/>
              <w:left w:val="nil"/>
              <w:bottom w:val="single" w:sz="4" w:space="0" w:color="auto"/>
              <w:right w:val="nil"/>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355" w:type="dxa"/>
            <w:tcBorders>
              <w:top w:val="single" w:sz="4" w:space="0" w:color="auto"/>
              <w:left w:val="single" w:sz="4" w:space="0" w:color="auto"/>
              <w:bottom w:val="single" w:sz="4" w:space="0" w:color="auto"/>
              <w:right w:val="nil"/>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39" w:type="dxa"/>
            <w:tcBorders>
              <w:top w:val="single" w:sz="4" w:space="0" w:color="auto"/>
              <w:left w:val="single" w:sz="4" w:space="0" w:color="auto"/>
              <w:bottom w:val="single" w:sz="4" w:space="0" w:color="auto"/>
              <w:right w:val="single" w:sz="12"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Локальний кошторис 02-01-01 на загальнобудівельні</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 xml:space="preserve">л 1. Демонтажні роботи (залишкові роботи)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цегляних перегородок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прорізів в цегляних стінах відбійним</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молотком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Знімання дерев'яних підвіконних дощок в кам'яних</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будівлях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дверних полотен</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26,45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відбиванням штукатурки в укосах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Відбивання штукатурки по цеглі та бетону зі стін та</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стель, площа відбивання в одному місці більше 5 м2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564,3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глазурованих плиток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114,95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дерев'яних плінтусів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50,68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підлог з керамічних плиток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 xml:space="preserve">л 2. Демонтажні роботи (додаткові роботи)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цегляних перегородок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прорізів в цегляних стінах відбійним</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молотком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Знімання дерев'яних підвіконних дощок в кам'яних</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будівлях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віконних коробок в кам'яних стінах 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відбиванням штукатурки в укосах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засклених віконних рам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дверних полотен</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відбиванням штукатурки в укосах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Відбивання штукатурки по цеглі та бетону зі стін та</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стель, площа відбивання в одному місці більше 5 м2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облицювання стін з керамічних</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глазурованих плиток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23,05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дерев'яних плінтусів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214,32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цементних покриттів підлог</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підлог з щитового паркету</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підлог з лінолеуму та реліну</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3. Влаштування пройому П-1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перемичок із металевих балок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0,02504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кутова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0,02604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4. Влаштування пройому П-2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перемичок із металевих балок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0,07332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швелерна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0,05408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листова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0,01293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А500С, діаметр 20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0,00925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Посилення цегляних стін металевим каркасом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0,04106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кутова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0,02616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листова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0,0147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5. Влаштування пройому П-3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перемичок із металевих балок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0,06223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швелерна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0,0507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листова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0,00882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клас А500С, діаметр 18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0,0052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6. Влаштування пройому П-4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перемичок із металевих балок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0,03756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кутова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0,03906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7. Влаштування пройому П-5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перемичок із металевих балок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0,01155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 кутова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0,01201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8. Фарбування металевих елементів (додаткові</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ґрунтовкою ГФ-021</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11,09</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емаллю ПФ-115 /за 2 рази/</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11,09</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9. Кладочні роботи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перегородок з газобетонних блоків</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100 мм при висоті поверху до 4 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Газоблоки D500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Сумiш для укладання блокiв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68,4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Мурування окремих ділянок внутрішніх стін із цегли</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10. Влаштування дверей та підвіконних дошок</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ламінованими дверними</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із застосуванням анкерів і монтажної піни,</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серія блоку ДГ-21-9</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блок</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Блоки двернi внутрiшнi індивідуальні МДФ</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20,25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Наличники, тип Н-1, Н-2, розмір 13х74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Залiзнi вироби для блокiв дверних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 750мл</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бал</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Дюбелі 100х10мм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пластикових підвіконних дошок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14,9</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Дошки підвіконні пластикові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 750мл</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бал</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11. Влаштування дверей та підвіконних дошок</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стінах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1,89</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56</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кам'яних стінах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Блоки дверні металопластикові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 750мл</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бал</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Дюбелі 100х10мм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пластикових підвіконних дошок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Дошки підвіконні пластикові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 750мл</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бал</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Розд</w:t>
            </w:r>
            <w:r>
              <w:rPr>
                <w:rFonts w:ascii="Arial" w:hAnsi="Arial" w:cs="Arial"/>
                <w:spacing w:val="-3"/>
                <w:sz w:val="20"/>
                <w:szCs w:val="20"/>
                <w:u w:val="single"/>
                <w:lang w:val="en-US"/>
              </w:rPr>
              <w:t>i</w:t>
            </w:r>
            <w:r>
              <w:rPr>
                <w:rFonts w:ascii="Arial" w:hAnsi="Arial" w:cs="Arial"/>
                <w:spacing w:val="-3"/>
                <w:sz w:val="20"/>
                <w:szCs w:val="20"/>
                <w:u w:val="single"/>
              </w:rPr>
              <w:t>л 12. Влаштування вікон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1 м2 з металопластику в кам'яних стінах</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64</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більше 3 м2 з металопластику в кам'яних стінах</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3 м2 з металопластику  в кам'яних стінах</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18,76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Блоки віконні металопластикові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Дюбелі 100х10мм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Піна монтажна 750мл</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бал</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11,61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Герметик силіконовий універсальний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л</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3,588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віконних зливів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17,9</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71</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Планка відливу з оцинкованої сталі з полімерним</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покриттям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Шуруп універсальний 4,0х50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Гермобутил мастика 2М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5,25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13. Внутрішнє опорядження приміщень</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 xml:space="preserve">Стеля Армстронг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каркасу підвісних стель</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208,73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стельових в каркас стелі</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208,73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Плита підвісної стелі 600х600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219,1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основний  3,7м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поперечний 1,2м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330,5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поперечний 0,6м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330,5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Пружина підвісу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Стержень-гачок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Стержень-кільце</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кутовий 3м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Дюбель забивний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 xml:space="preserve">Стеля гіпсокартон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стель мiнеральною шпаклiвкою</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86</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182-1, 15-182-2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Мінеральна шпаклівка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77,8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88</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полівінілацетатними</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водоемульсійними сумішами стель по збірних</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конструкціях, підготовлених під фарбування</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Фарба акрилова біла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л</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10,69</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Стіни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Антисептування водними сумішами стін</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155,57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91</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Штукатурення стін по каменю гіпсовими сумішами з</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механізованим нанесенням суміші штукатурними</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станціями потужністю 5,5 кВт, продуктивністю 5-85 л/хв,</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при товщині шару штукатурки 20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288,6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стiн мiнеральною шпаклiвкою</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390,84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182-1, 15-182-2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390,84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Мінеральна шпаклівка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1407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полівінілацетатними</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водоемульсійними сумішами стін по збірних</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конструкціях, підготовлених під фарбування</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390,84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96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Фарба акрилова кольорована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л</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175,88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97</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  на</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розчині із сухої клеючої суміші, число плиток в 1 м2</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7 до 12 шт</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Плитки керамічні</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217,15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Суміш суха клейова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Затирка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14. Внутрішнє опорядження приміщень</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 xml:space="preserve">Стеля Армстронг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каркасу підвісних стель</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34,01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стельових в каркас стелі</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34,01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Плита підвісної стелі 600х600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основний  3,7м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поперечний 1,2м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поперечний 0,6м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53,8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Пружина підвісу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Стержень-гачок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Стержень-кільце</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кутовий 3м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Дюбель забивний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 xml:space="preserve">Стеля гіпсокартон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112</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каркасу однорівневих підвісних стель із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металевих профілів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43,51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холодногнутий напрямний UD 28х27</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39,16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холодногнутий стійковий CD 60/27</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110,95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Пiдвiс прямий CD 60/27</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Подовжувач профілів 60/27 однорівневий</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Однорівневий з"єднувач профілів типу "краб"</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Тяга підвісу</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Стрічка ущільнювальна  шириною 30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Саморіз для кріплення металу LN 3,5x9,5 мм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678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для кріплення профілю</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Дюбелi в комплекті, 6х40 мм пластик гриб</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підшивки горизонтальних поверхонь</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підвісних стель гіпсокартонними або гіпсоволокнистими</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вологостійкими листами.</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43,51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124</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Листи гiпсокартоннi для стелі із вологостійкого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гіпсокартону / 9,5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45,69</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Саморіз для кріплення гіпсокартону TN 3,5х25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Стрічка армувальна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м.п.</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43,1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Шпаклівка на шов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стель мiнеральною шпаклiвкою</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21,81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129</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182-1, 15-182-2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21,81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Мінеральна шпаклівка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78,5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131</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полівінілацетатними</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водоемульсійними сумішами стель по збірних</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конструкціях, підготовлених під фарбування</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21,81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Фарба акрилова біла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л</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10,75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Стіни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Антисептування водними сумішами стін</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644,43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134</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обшивки стін гіпсокартонними плитами</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[фальшстіни] по металевому каркасу</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Мінераловатні плити, щільність 80 кг/м3, t=100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26,78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136</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Листи гiпсокартоннi для стін із вологостійкого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гіпсокартону / 12,5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Саморіз для кріплення гіпсокартону TN 3,5х25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Стрічка армувальна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м.п.</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Шпаклівка на шов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напрямний UW-100, 3м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141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Профіль стійковий CW-100, 3м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для кріплення профілю</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Штукатурення стін по каменю гіпсовими сумішами з</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механізованим нанесенням суміші штукатурними</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станціями потужністю 5,5 кВт, продуктивністю 5-85 л/хв,</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при товщині шару штукатурки 20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138,4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стiн мiнеральною шпаклiвкою</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62,16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182-1, 15-182-2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62,16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Мінеральна шпаклівка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223,78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147</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полівінілацетатними</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водоемульсійними сумішами стін по збірних</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конструкціях, підготовлених під фарбування</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62,16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Фарба акрилова кольорована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л</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27,97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149</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Просте штукатурення поверхонь стін всередені будівлі</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цементно-вапняним або цементним розчином по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каменю та бетону</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326,5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150</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  на</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розчині із сухої клеючої суміші, число плиток в 1 м2</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7 до 12 шт</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Плитки керамічні</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Суміш суха клейова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579,8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Затирка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15. Відкоси (залишкові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перфорованих штукатурних кутиків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36,64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Кутики штукатурні металеві оцинковані перфоровані</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38,47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156</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Штукатурення плоских поверхонь віконних та дверних</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укосів по бетону та каменю</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10,99</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укосів мiнеральною шпаклiвкою</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158</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182-1, 15-182-2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Мінеральна шпаклівка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41,32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160</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Полiпшене фарбування акриловими фарбами відкосів</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по збiрних конструкцiях, пiдготовлених пiд фарбування</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11,48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Фарба акрилова кольорована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л</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16. Відкоси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перфорованих штукатурних кутиків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100,36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Кутики штукатурні металеві оцинковані перфоровані</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105,38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164</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Штукатурення плоских поверхонь віконних та дверних</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укосів по бетону та каменю</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укосів мiнеральною шпаклiвкою</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29,62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166</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на 1 мм зміни товщини шпаклівки до норм 15-</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182-1, 15-182-2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29,62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Мінеральна шпаклівка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106,62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168</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Полiпшене фарбування акриловими фарбами відкосів</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по збiрних конструкцiях, пiдготовлених пiд фарбування</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29,62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Фарба акрилова кольорована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л</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13,33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17. Підлоги (залишкові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Тип 1</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170</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поризованої стяжки товщиною</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20 мм по бетоннiй основi площею понад 20 м2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171</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кожнi 5 мм змiни товщини шару цементної</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поризованої стяжки додавати або виключати /до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товщини 50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172</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12 шт</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Плитки керамiчнi для підлог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180,03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Суміш суха клейова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917,8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Затирка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80,13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Тип 2</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176</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поризованої стяжки товщиною</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20 мм по бетоннiй основi площею понад 20 м2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177</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кожнi 5 мм змiни товщини шару цементної</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поризованої стяжки додавати або виключати /до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товщини 55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плінтусів полівінілхлоридних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18. Підлоги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Тип 1</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179</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рулонних матеріалів насухо без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промазування кромок (гідроізоляція з плівки)</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Гідроізоляційна плівка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303,6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181</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Теплоізоляція покриттів та перекриттів виробами 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пінопласту насухо</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Пінополістирольна плита ПСБ-С-35, товщина 50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269,28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поризованої стяжки товщиною</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20 мм по бетоннiй основi площею понад 20 м2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184</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кожнi 5 мм змiни товщини шару цементної</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поризованої стяжки додавати або виключати /до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товщини 50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сухої клеючої суміші, кількість плиток в 1 м2 понад 7 до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12 шт</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87,5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Плитки керамiчнi для підлог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89,25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Суміш суха клейова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Затирка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189</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плінтусів шириною 150 мм з керамічних</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плиток розміром 30х30 см на розчині із сухої клеючої</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Плитки керамiчнi для підлог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Суміш суха клейова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Затирка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Тип 2</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рулонних матеріалів насухо без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промазування кромок (гідроізоляція з плівки)</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Гідроізоляційна плівка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31,05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Теплоізоляція покриттів та перекриттів виробами 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пінопласту насухо</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Пінополістирольна плита ПСБ-С-35, товщина 50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27,54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197</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покриття з лінолеуму площею покриття</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10 м2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19. Поручні та відбійники (залишкові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198</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Виготовлення драбин, зв'язок, кронштейнів, гальмових</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конструкцій та ін.</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0,178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199</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дрiбних металоконструкцiй вагою до 0,1 т</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(поручні)</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0,178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Вартість труб оцинкованих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0,18868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алюмінієвих захисних профілів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Відбійний кутик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20. Інші роботи (залишкові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33,231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10 км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33,231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Розд</w:t>
            </w:r>
            <w:r>
              <w:rPr>
                <w:rFonts w:ascii="Arial" w:hAnsi="Arial" w:cs="Arial"/>
                <w:spacing w:val="-3"/>
                <w:sz w:val="20"/>
                <w:szCs w:val="20"/>
                <w:u w:val="single"/>
                <w:lang w:val="en-US"/>
              </w:rPr>
              <w:t>i</w:t>
            </w:r>
            <w:r>
              <w:rPr>
                <w:rFonts w:ascii="Arial" w:hAnsi="Arial" w:cs="Arial"/>
                <w:spacing w:val="-3"/>
                <w:sz w:val="20"/>
                <w:szCs w:val="20"/>
                <w:u w:val="single"/>
              </w:rPr>
              <w:t>л 21. Інші роботи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24,511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10 км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24,511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Локальний кошторис 02-01-02 на монтаж автоматичної</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пожежної сигналізації та оповіщення людей про пожежу</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1. Система пожежної сигналізації та керування</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евакуюванням(залишкові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пристрою передавання пожежної тривоги</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Пристрій передавання пожежної тривоги TK-2/GSM-01</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Блок шлефів адресний БША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210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сповiщувача пожежного димового ИПД-А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Сповiщувач димовий ИПД-А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сповiщувача пожежного теплового ИПТ-А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Сповiщувач тепловий ИПT-А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сповіщувача пожежного ручного ИПР-А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Сповiщувач ручний ИПР-А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сповіщувача пожежного ручного ИПР-1 (ІР-54)</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Сповiщувач ручний ИПР-1 (ІР54) зовнішній</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Конструкції для установлення сповіщувача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Гучномовець або звукова колонка у приміщенні</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пульту диспетчера та модуля виклику</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Модуль виклику ВМ-01</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світлового оповіщувача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Покажчик руху ОС-6.4 (24V) "СТРІЛКА"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Оповіщувач свiтловий ОС-1 (24V) "ВИХІД"</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акумулятора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коробів пластикових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 ПВХ 25х40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 ПВХ 16х16</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Дюбель 6х60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230</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2,5 мм2</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до 6 мм2 в труби</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231</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проводів при схованій проводці по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необштукатуреній поверхні</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370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NHXH FE 180/E30 3х1,5</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JE-H(St)H E30 1х2х0,8</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J-Y(St)Y 1х2х0,8</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2. Система пожежної сигналізації та керування</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евакуюванням(додаткові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приладу приймально-контрольного пожежного</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236</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Прилад приймально-контрольний пожежний Варта-</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Адрес</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237</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Прилади, що установлюються до приладу та в шафу</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(блок шлейфів адресний)</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Блок шлефів адресний БША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239</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Прилади, що установлюються до приладу та в шафу</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(блок введення-виведення)</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Блок вводу-виводу БВВ-А-02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Акумулятор 12В/7А год</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сповiщувача пожежного димового ИПД-А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Сповiщувач димовий ИПД-А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Конструкції для установлення сповіщувача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База для адресних сповіщувачів РИП-А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19</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свiтильника аварійного освітлення</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Світильник аварійного освітлення HL306L</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248</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пристрою комутаційного управління</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пожежогасінням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Пристрій комутаційний УКР-24-2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акумулятора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Акумулятор 12В/2А год</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252</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Устаткування керування та індикації мовленнєвого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оповіщування</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Моноблок УКіМО BRAND-AUDIO-2-240-WM</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акумулятора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Акумулятор 12В/18А год</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Гучномовець (DSP507, настінний) BRAND-AUDIO-WL-3</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пульту диспетчера та модуля виклику</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Пульт диспетчера СД02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оповіщувача світлозвукового</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Оповіщувач світлозвуковий ОС3 "ДЖМІЛЬ" (24V)</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Оповіщувач свiтловий ОС-1 (24V) "ВИХІД"</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коробів пластикових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 ПВХ 25х40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 ПВХ 16х16</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131,2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Дюбель 6х40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Дюбель 8х60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267</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2,5 мм2</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до 6 мм2 в труби</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268</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проводів при схованій проводці по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необштукатуреній поверхні</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NHXH FE 180/E30 3х1,5</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JE-H(St)H E30 1х2х0,8</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95,5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JE-H(St)H E30 2х2х0,8</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154,5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J-Y(St)Y 1х2х0,8</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Локальний кошторис 02-01-03 на електротехнічні</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рішення</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 Щити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Щит розподільний (3ЩР)</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щитків освітлювальних групових масою</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6 кг до 10 кг у готовій ніші або на стіні</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Корпус щита для установки в нішу ЩРВ-3/48(3)</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 автоматичний [автомат] одно-, дво-,</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триполюсний, що установлюється на конструкції на стіні</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або колоні, струм до 25 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Автоматичний вимикач ВА47-100 20А 3р</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Автоматичний вимикач ВА47-29м 6А 1р</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Автоматичний вимикач ВА47-29м 2А 1р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Диф. автомат АВДТ32 16А 30мА 2р</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приладiв або апаратiв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Монтажна ДІН-рейка довж. 60 см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N і PE-шини на Дін-рейку</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Ізолятор для монтажу N і PE-шин на Дін-рейку</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Затискачі клемні на монтажну дін-рейку ЗНИ-4</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Електричні проводки у щитах і пультах малогабаритних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286</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Проводи силові з полівінілхлоридною ізоляцією з</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мідною жилою підвищеної гнучкості, марка ПВЗ, переріз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4 мм2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2. Апарати напругою до 1000 В (залишкові</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дзвінка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Дзвінок електричний ЗВП-220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приладів або апаратів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Кнопка управління одноштифтова ПКЕ-222-1У2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3. Кабельна продукція (залишкові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291</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2,5 мм2</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до 6 мм2 в труби</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3х1,5 мм2 ВВГнгд-1,0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391,4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6 мм2</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до 16 мм2 в труби</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3х2,5 мм2 ВВГнгд-1,0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4. Кабельна продукція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2,5 мм2</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до 6 мм2 в труби</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3х1,5 мм2 ВВГнгд-FR-1,0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51,5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5. Електроустановчі вироби та монтажні</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матеріали(залишкові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297</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герметичних та</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напівгерметичних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Розетка штепсельна герметична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299</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утопленого типу</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300</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штепсельна із заземлючим для прихованого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301</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штепсельна із заземлючим для прихованого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здвоєна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302</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блоків з кількістю установлюваних</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апаратів [вимикачів і штепсельних розеток] до 4</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303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Блок із 4-х штепсельних розеток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304</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проводці, 2-клавішних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Вимикачі двоклавішні</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306</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проводці, 1-клавішних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Вимикачі одноклавішні</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для установки вимикачів і розеток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розгалужувальна універсальна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6. Електроустановчі вироби та монтажні</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матеріали(додаткові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310</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утопленого типу</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311</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штепсельна із заземлючим для прихованого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312</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штепсельна із заземлючим для прихованого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встановлення здвоєна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проводці, 1-клавішних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Вимикачі одноклавішні</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7. Світлотехнічне обладнення (залишкові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1-лампового бра для ламп розжарювання</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Свiтильник світлодіодний ДВО20У-36-111 УХЛ4</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Свiтильник світлодіодний ДББ-64В-8-022 УХЛ4</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Свiтильник світлодіодний ДББ-64В-8-082 УХЛ4</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319</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сигнальних ліхтарів з надписом "вхід", "вихід",</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"в'їзд", "під'їзд" і т.п.</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Світильник світлодіодний ДБО02ВСП-6-г-104 УХЛЗ.1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8. Світлотехнічне обладнення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Свiтильник світлодіодний ДПО20У-36-111 УХЛ4</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Свiтильник світлодіодний ДПП07В-20-313 УХЛ4</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9. Труби (залишкові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борозен в цегляних стінах, переріз борозен</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до 50 см2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324</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Забивання борозен в стiнах, ширина борозни до 50 мм,</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глибина борозни до 20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На кожні наступні 10 мм глибини борозни додавати</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326</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поліетиленових труб для електропроводки</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25 мм, укладених в борознах під заливку</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327</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вініпластових труб, що поставляються</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прямими трубами довжиною 5-7 м, по стінах і колонах із</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кріпленням накладними скобами, діаметр умовного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проходу до 25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Захисна трубка ПВХ гофрована d=20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147,53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10. Труби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329</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борозен в цегляних стінах, переріз борозен</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до 50 см2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330</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Забивання борозен в стiнах, ширина борозни до 50 мм,</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глибина борозни до 20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На кожні наступні 10 мм глибини борозни додавати</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332</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поліетиленових труб для електропроводки</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25 мм, укладених в борознах під заливку</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вініпластових труб, що поставляються</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прямими трубами довжиною 5-7 м, по стінах і колонах із</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кріпленням накладними скобами, діаметр умовного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проходу до 25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Захисна трубка ПВХ гофрована d=20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690,77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11. Перелік робіт, не врахованих кресленнями</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Установлення щитків освітлювальних</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групових масою понад 10 кг до 20 кг у готовій ніші або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на стіні</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336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світильників для люмінесцентних ламп</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світильників з лампами розжарювання</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вимикачів, розеток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12. Інші роботи (залишкові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3,8125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10 км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3,8125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Розд</w:t>
            </w:r>
            <w:r>
              <w:rPr>
                <w:rFonts w:ascii="Arial" w:hAnsi="Arial" w:cs="Arial"/>
                <w:spacing w:val="-3"/>
                <w:sz w:val="20"/>
                <w:szCs w:val="20"/>
                <w:u w:val="single"/>
                <w:lang w:val="en-US"/>
              </w:rPr>
              <w:t>i</w:t>
            </w:r>
            <w:r>
              <w:rPr>
                <w:rFonts w:ascii="Arial" w:hAnsi="Arial" w:cs="Arial"/>
                <w:spacing w:val="-3"/>
                <w:sz w:val="20"/>
                <w:szCs w:val="20"/>
                <w:u w:val="single"/>
              </w:rPr>
              <w:t>л 13. Інші роботи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10 км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Локальний кошторис 02-01-04 на водопостачання і</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каналізація</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1. Демонтажні роботи (залишкові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унітазів зі змивними бачками</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раковин [умивальників]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унітазів, пісуарів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2. Санітарні прилади та обладнання (залишкові</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346</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унітазів з безпосередньо приєднаним</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бачком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Унiтаз компакт ЕКО 2000 вертикальний випуск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348</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холодної та гарячої води</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Умивальник з отвором 60,5х48,5</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П`єдестал під умивальник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Змішувач для умивальника з донним клапаном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Шланг PARIGI 1/2"х1/2"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змішувачів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354</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Набір для гігієнічного душу в комплекті зі шлангою та</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лійкою</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трапів діаметром 50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пісуарів настінних [одиночних]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Пiсуар в комплекті з кнопочним краном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Сифон для умивальника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Сифон для пісуара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Гофра для підключення унітазу</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361</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вішалок, підстаканників, поручнів для</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ванн тощо</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Поручень пристінний MEDOK 500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Опора настінна консольна, 725х185мм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Поручень зігнутий (кут 90 град.) 600х600мм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сушарок для рук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Автоматична сушарка для рук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3. Санітарні прилади та обладнання (додаткові</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367</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унітазів з безпосередньо приєднаним</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бачком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Унiтаз компакт ЕКО 2000 вертикальний випуск</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Гофра для підключення унітазу</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змішувачів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371</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Набір для гігієнічного душу в комплекті зі шлангою та</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лійкою</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Шланг PARIGI 1/2"х1/2"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трапів діаметром 50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374</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вішалок, підстаканників, поручнів для</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ванн тощо</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Поручень пристінний MEDOK 500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Опора настінна консольна, 725х185мм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Поручень зігнутий (кут 90 град.) 600х600мм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4. Система водовідведення К1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378</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поліетиленових труб діаметром 100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379</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для внутрішньої каналізації діам.</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110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380</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поліетиленових труб діаметром 50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381</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для внутрішньої каналізації діам.</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HTM DN 110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HTM DN 50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384</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Трійники каналізаційні 45 град. із поліпропілену діам.</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110х110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Трійники каналізаційні 45 град. із поліпропілену діам.</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110х50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386</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Трійники каналізаційні 45 град. із поліпропілену діам.</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50х50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387</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Перехiдники до каналiзацiйних труб iз полiпропiлену</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дiам. 110х50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388</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Відводи каналiзацiйнi 45 град. iз полiпропiлену дiам. 50</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389</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Відводи каналiзацiйнi 45 град. iз полiпропiлену дiам. 110</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Ревiзiя HTRE DN 110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з гумовим ущільненням, DN 50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з гумовим ущільненням, DN 110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поліетиленових відводів, колін, патрубків,</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переходів діаметром 110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Протипожежні гільзи 104-113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дверцят інженерних ніш</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Дверцята інженерних ніш 300х300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люкiв у підлозі, площа прорiзу до 2 м2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0,09</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Люк підлоговий ревізійний 300х300мм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Перехiдник чавун-пластик DN 110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Перехiдник чавун-пластик DN 50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5. Водомірні вузли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401</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лічильників [водомірів] на різьбі</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до 40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Лічильник обліку холодної води 1/2" ВСКМ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25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Фільтр грубої очистки 1/2"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Кран шаровий з американкою прямою 1/2" ВЗ</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Відвід різьбовий 1/2" ВВ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Різьба коротка 1/2"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Зворотній клапан 1/2"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із зовнішньою різьбою діам. 20х1/2"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Ніпель різьбовий 1/2"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6. Система водопостачання В1, Т3 (залишкові</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Колiно настінне водорозетка 20х1,2 ВР</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з різьбою 1/2'' ЗР</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поліпропіленова армована PN20 Stabi Al ф20х3,4</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діаметром до 76 мм циліндрами,</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напівциліндрами та сегментами з пінопласту, товщина</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ізоляційного шару 40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Ізоляція трубна 22х6,0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PN 20 дiам. 20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Відвід 90 град. діам. 20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Обвiд дiам. 20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Кран шаровий ф20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із поліпропілену діам. 20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одинарний із резиновими вкладками 20-23</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люкiв у підлозі, площа прорiзу до 2 м2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Люк під плитку нажимний 300х600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lastRenderedPageBreak/>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7. Система водопостачання В1, Т3 (додаткові</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25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поліпропіленова армована PN20 Stabi Al ф25х4,2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427</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діаметром до 76 мм циліндрами,</w:t>
            </w:r>
          </w:p>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напівциліндрами та сегментами з пінопласту, товщина</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ізоляційного шару 40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Ізоляція трубна 28х13,0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PN 20 дiам. 25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Відвід 90 град. діам. 25</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редукційна ніпельна PN 20 25x20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із поліпропілену діам. 25х20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із поліпропілену діам. 25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одинарний із резиновими вкладками 25-28</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8. Перепідключити існуючий бойлер (залишкові</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Американка пряма 1/2"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Кран шаровий ВЗ 1/2"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із зовнішньою різьбою діам. 20х1/2"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Зворотній клапан 1/2"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Кран шаровий з американкою прямою 1/2" ВЗ</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Ніпель різьбовий 1/2"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Мембранний клапан 1/2"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різьбовий 1/2" ВВВ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25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Фільтр грубої очистки 1/2"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9. Бойлер (залишкові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Кран шаровий ВЗ 3/4"</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Зворотній клапан 3/4"</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Ніпель різьбовий 3/4"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Мембранний клапан 1/2"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Перехід різьбовий 3/4" Зх1/2" 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різьбовий 3/4" ВВВ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фільтрів для очищення води</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Роздiл 10. Бойлер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водопідігрівачів ємкісних місткістю до 1 м3</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Бойлер Runde Dry Slim AWH/M 80 H EWT Clima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Перехід різьбовий 1/2" Вх3/4" 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Американка кутова 3/4"</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із зовнішньою різьбою діам. 25х3/4"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таймера цифрового</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Таймер цифровий добовий ТМ 41 3500W/16A</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Фільтр картрижний 3/4" Aquafilter або аналог</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Локальний кошторис 02-01-05 на опалення і вентиляція</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1. Система вентиляції (ПВ1) (залишкові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вентиляторів осьових масою до 0,025 т</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Рекуператор 185/177 м3/год Prana 200C</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2. Система вентиляції (В1) (залишкові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вентиляторів осьових масою до 0,025 т</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Прилади, що установлюються на конструкціях або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щитах, маса до 10 кг</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3. Система вентиляції (В1)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Витяжний вентилятор RV 160 L Aerostar</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Відвід ф160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зовнішня ф160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Врізка ф160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Регулятор швидкості обертів Aerostar</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469</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діаметром до 200 мм 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оцинкованої сталі класу Н [нормальна] товщиною 0,6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470</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Повітроводи класу Н з тонколистової оцинкованої 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неперервних ліній сталі товщиною 0,6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3,52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Припливно-витяжна решітка МВ 150 БВ Вентс</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вставок гнучких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Гнучка вставка ВВГ ф160 Вентс</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4. Система вентиляції (В2) (залишкові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зонтів над устаткуванням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0,36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Зонт витяжний купольний (з нержавіючої сталі)</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600х600х400 (h)</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вентиляторів осьових масою до 0,025 т</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5. Система вентиляції (В2)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Витяжний вентилятор ВКМ 200 Вентс</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Відвід ф200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Качка вентиляційна зі зміщенням в двох площинах ф200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Шиберна засувка ф200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481</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над шахтами зонтів із листової сталі</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круглого перерізу діаметром 200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зонт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Зонт на дах круглий ф200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483</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діаметром до 200 мм 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оцинкованої сталі класу Н [нормальна] товщиною 0,6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16,96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484</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Повітроводи класу Н з тонколистової оцинкованої 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неперервних ліній сталі товщиною 0,6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16,96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Прилади, що установлюються на конструкціях або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щитах, маса до 10 кг</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Регулятор швидкості обертів РС 1-300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Ізоляція плоских поверхонь матами мінераловатними</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488</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Теплова ізоляція з мін.вати повітропроводу t=50 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армованим алюмінієвим шаром Isotec Kim-Al</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15,07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6. Система вентиляції В3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вентиляторів осьових масою до 0,025 т</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Витяжний вентилятор RV 100 L Aerostar</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Відвід ф125</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Заглушка зовнішня ф125</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Врізка ф125</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Перехід ф125/100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діаметром до 200 мм 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оцинкованої сталі класу Н [нормальна] товщиною 0,6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496</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Повітроводи класу Н з тонколистової оцинкованої 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неперервних ліній сталі товщиною 0,6 мм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Припливно-витяжна решітка МВ 125 БВ Вентс</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498</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Прилади, що установлюються на конструкціях або</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щитах, маса до 10 кг</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Регулятор швидкості обертів Aerostar</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вставок гнучких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Гнучка вставка ВВГ ф100 Вентс</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502</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грат жалюзійних сталевих з вивірянням і</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закріпленням площею в світлі до 0,25 м2</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Решітка зовнішня ф125 Вентс</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7. Кріплення та допоміжні матеріали (залишкові</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Монтажна стрічка Вентс АЛТ</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рулон</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505</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Декоративна манжета ф150 для вентиляційних отворів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8. Кріплення та допоміжні матеріали (додаткові</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Монтажна стрічка Вентс АЛТ</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рулон</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ХЦ ф160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ХЦ ф200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ХЦ ф125</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ХЦ ф100</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Декоративна манжета ф200 для вентиляційних отворів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512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Декоративна манжета ф125 для вентиляційних отворів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Металоконструкції для кріплення повітропроводів</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9. Промивка системи опалення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Спускання води із системи</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Прочищення магістральних трубопроводів системи</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центрального опалення</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Заповнення системи водою з оглядом</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517</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Рідина для промивки системи опалення (концентрат), 1</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л GEB G30 Desembuant</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Розд</w:t>
            </w:r>
            <w:r>
              <w:rPr>
                <w:rFonts w:ascii="Arial" w:hAnsi="Arial" w:cs="Arial"/>
                <w:spacing w:val="-3"/>
                <w:sz w:val="20"/>
                <w:szCs w:val="20"/>
                <w:u w:val="single"/>
                <w:lang w:val="en-US"/>
              </w:rPr>
              <w:t>i</w:t>
            </w:r>
            <w:r>
              <w:rPr>
                <w:rFonts w:ascii="Arial" w:hAnsi="Arial" w:cs="Arial"/>
                <w:spacing w:val="-3"/>
                <w:sz w:val="20"/>
                <w:szCs w:val="20"/>
                <w:u w:val="single"/>
              </w:rPr>
              <w:t>л 10. Фарбування радіаторів (додаткові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518</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ґрунтовкою ГФ-021</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519</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Грунт алкідний MIKS PRIMER антикорозійний сірий 0,9 кг</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Фарбування радіаторів та ребристих труб</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17,6</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Фарба для радіаторів опалення 1 кг Elite Construction </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Локальний кошторис 02-01-06 на влаштування</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структурованої кабельної мережі</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1. Демонтаж структурованої кабельної мережі</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522</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Монтаж машрутизатора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пристрій</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Монтаж комутатора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524</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Прокладання коробів пластикових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Прокладання ізольованих проводів</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перерізом до 6 мм2 у коробах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pacing w:val="-3"/>
                <w:sz w:val="20"/>
                <w:szCs w:val="20"/>
                <w:u w:val="single"/>
                <w:lang w:val="ru-RU"/>
              </w:rPr>
            </w:pPr>
            <w:r>
              <w:rPr>
                <w:rFonts w:ascii="Arial" w:hAnsi="Arial" w:cs="Arial"/>
                <w:spacing w:val="-3"/>
                <w:sz w:val="20"/>
                <w:szCs w:val="20"/>
                <w:u w:val="single"/>
                <w:lang w:val="ru-RU"/>
              </w:rPr>
              <w:t>Розд</w:t>
            </w:r>
            <w:r>
              <w:rPr>
                <w:rFonts w:ascii="Arial" w:hAnsi="Arial" w:cs="Arial"/>
                <w:spacing w:val="-3"/>
                <w:sz w:val="20"/>
                <w:szCs w:val="20"/>
                <w:u w:val="single"/>
                <w:lang w:val="en-US"/>
              </w:rPr>
              <w:t>i</w:t>
            </w:r>
            <w:r>
              <w:rPr>
                <w:rFonts w:ascii="Arial" w:hAnsi="Arial" w:cs="Arial"/>
                <w:spacing w:val="-3"/>
                <w:sz w:val="20"/>
                <w:szCs w:val="20"/>
                <w:u w:val="single"/>
                <w:lang w:val="ru-RU"/>
              </w:rPr>
              <w:t>л 2. Монтаж структурованої кабельної мережі</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ru-RU"/>
              </w:rPr>
              <w:t>(залишкові роботи)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526</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машрутизатора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пристрій</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527</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комутатора</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528</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коробів пластикових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529</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у коробах</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lang w:val="en-US"/>
              </w:rPr>
              <w:t>МАТЕРІАЛИ</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44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355"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559" w:type="dxa"/>
            <w:tcBorders>
              <w:top w:val="nil"/>
              <w:left w:val="single" w:sz="4" w:space="0" w:color="auto"/>
              <w:bottom w:val="nil"/>
              <w:right w:val="single" w:sz="4"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530</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8-ми портовий маршрутизатор MikroTik RB2011iL-IN</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531</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24=х портовий комутатор MikroTik CRS326-24G-2S+RM</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532</w:t>
            </w:r>
          </w:p>
        </w:tc>
        <w:tc>
          <w:tcPr>
            <w:tcW w:w="5449" w:type="dxa"/>
            <w:tcBorders>
              <w:top w:val="nil"/>
              <w:left w:val="nil"/>
              <w:bottom w:val="nil"/>
              <w:right w:val="nil"/>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Патч-корд 5e кат. RJ45 литий зелений UTP 1м CAT.5E</w:t>
            </w:r>
          </w:p>
          <w:p>
            <w:pPr>
              <w:keepLines/>
              <w:autoSpaceDE w:val="0"/>
              <w:autoSpaceDN w:val="0"/>
              <w:spacing w:after="0" w:line="240" w:lineRule="auto"/>
              <w:rPr>
                <w:rFonts w:ascii="Arial" w:hAnsi="Arial" w:cs="Arial"/>
                <w:sz w:val="20"/>
                <w:szCs w:val="20"/>
              </w:rPr>
            </w:pPr>
            <w:r>
              <w:rPr>
                <w:rFonts w:ascii="Arial" w:hAnsi="Arial" w:cs="Arial"/>
                <w:spacing w:val="-3"/>
                <w:sz w:val="20"/>
                <w:szCs w:val="20"/>
              </w:rPr>
              <w:t>UTP CORD-1M-GREEN</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nil"/>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533</w:t>
            </w:r>
          </w:p>
        </w:tc>
        <w:tc>
          <w:tcPr>
            <w:tcW w:w="5449" w:type="dxa"/>
            <w:tcBorders>
              <w:top w:val="nil"/>
              <w:left w:val="nil"/>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КПВЭ-ВП (100) 4х2х0,51 (FTPcat.5e)</w:t>
            </w:r>
          </w:p>
        </w:tc>
        <w:tc>
          <w:tcPr>
            <w:tcW w:w="1355" w:type="dxa"/>
            <w:tcBorders>
              <w:top w:val="nil"/>
              <w:left w:val="single" w:sz="4" w:space="0" w:color="auto"/>
              <w:bottom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bottom w:val="nil"/>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41,2</w:t>
            </w:r>
          </w:p>
        </w:tc>
        <w:tc>
          <w:tcPr>
            <w:tcW w:w="1239" w:type="dxa"/>
            <w:tcBorders>
              <w:top w:val="nil"/>
              <w:left w:val="single" w:sz="4" w:space="0" w:color="auto"/>
              <w:bottom w:val="nil"/>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534</w:t>
            </w:r>
          </w:p>
        </w:tc>
        <w:tc>
          <w:tcPr>
            <w:tcW w:w="5449" w:type="dxa"/>
            <w:tcBorders>
              <w:top w:val="nil"/>
              <w:left w:val="nil"/>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Кабельний короб 40х20</w:t>
            </w:r>
          </w:p>
        </w:tc>
        <w:tc>
          <w:tcPr>
            <w:tcW w:w="1355" w:type="dxa"/>
            <w:tcBorders>
              <w:top w:val="nil"/>
              <w:left w:val="single" w:sz="4" w:space="0" w:color="auto"/>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559" w:type="dxa"/>
            <w:tcBorders>
              <w:top w:val="nil"/>
              <w:left w:val="single" w:sz="4" w:space="0" w:color="auto"/>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40,4</w:t>
            </w:r>
          </w:p>
        </w:tc>
        <w:tc>
          <w:tcPr>
            <w:tcW w:w="1239" w:type="dxa"/>
            <w:tcBorders>
              <w:top w:val="nil"/>
              <w:left w:val="single" w:sz="4" w:space="0" w:color="auto"/>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592" w:type="dxa"/>
            <w:tcBorders>
              <w:top w:val="nil"/>
              <w:left w:val="single" w:sz="12"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535</w:t>
            </w:r>
          </w:p>
        </w:tc>
        <w:tc>
          <w:tcPr>
            <w:tcW w:w="5449" w:type="dxa"/>
            <w:tcBorders>
              <w:top w:val="nil"/>
              <w:left w:val="nil"/>
              <w:bottom w:val="single" w:sz="4" w:space="0" w:color="auto"/>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монтажна під 2 модуля PDB DKC 10034</w:t>
            </w:r>
          </w:p>
        </w:tc>
        <w:tc>
          <w:tcPr>
            <w:tcW w:w="1355" w:type="dxa"/>
            <w:tcBorders>
              <w:top w:val="nil"/>
              <w:left w:val="single" w:sz="4" w:space="0" w:color="auto"/>
              <w:bottom w:val="single" w:sz="4" w:space="0" w:color="auto"/>
              <w:right w:val="nil"/>
            </w:tcBorders>
          </w:tcPr>
          <w:p>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шт</w:t>
            </w:r>
          </w:p>
        </w:tc>
        <w:tc>
          <w:tcPr>
            <w:tcW w:w="1559" w:type="dxa"/>
            <w:tcBorders>
              <w:top w:val="nil"/>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39" w:type="dxa"/>
            <w:tcBorders>
              <w:top w:val="nil"/>
              <w:left w:val="single" w:sz="4" w:space="0" w:color="auto"/>
              <w:bottom w:val="single" w:sz="4" w:space="0" w:color="auto"/>
              <w:right w:val="single" w:sz="12" w:space="0" w:color="auto"/>
            </w:tcBorders>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pPr>
        <w:autoSpaceDE w:val="0"/>
        <w:autoSpaceDN w:val="0"/>
        <w:spacing w:after="0" w:line="240" w:lineRule="auto"/>
        <w:rPr>
          <w:sz w:val="24"/>
          <w:szCs w:val="24"/>
        </w:rPr>
      </w:pPr>
    </w:p>
    <w:p>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rPr>
      </w:pPr>
    </w:p>
    <w:p>
      <w:pPr>
        <w:spacing w:after="0" w:line="240" w:lineRule="auto"/>
        <w:ind w:firstLine="708"/>
        <w:contextualSpacing/>
        <w:jc w:val="both"/>
        <w:rPr>
          <w:rFonts w:ascii="Times New Roman" w:hAnsi="Times New Roman" w:cs="Times New Roman"/>
          <w:bCs/>
          <w:i/>
          <w:sz w:val="20"/>
          <w:szCs w:val="24"/>
        </w:rPr>
      </w:pPr>
      <w:r>
        <w:rPr>
          <w:rFonts w:ascii="Times New Roman" w:hAnsi="Times New Roman" w:cs="Times New Roman"/>
          <w:bCs/>
          <w:i/>
          <w:sz w:val="20"/>
          <w:szCs w:val="24"/>
        </w:rPr>
        <w:t>* У разі посилання у технічній специфікації на конкретну торговельну марку чи фірму, патент, конструкцію або тип предмета закупівлі, джерело його походження або виробника, якщо таке посилання є необхідним, воно повинно бути обґрунтованим та містити вираз «або еквівалент».</w:t>
      </w:r>
    </w:p>
    <w:p>
      <w:pPr>
        <w:spacing w:after="0" w:line="240" w:lineRule="auto"/>
        <w:ind w:firstLine="708"/>
        <w:contextualSpacing/>
        <w:jc w:val="both"/>
        <w:rPr>
          <w:rFonts w:ascii="Times New Roman" w:hAnsi="Times New Roman" w:cs="Times New Roman"/>
          <w:bCs/>
          <w:i/>
          <w:sz w:val="18"/>
          <w:szCs w:val="24"/>
        </w:rPr>
      </w:pPr>
    </w:p>
    <w:p>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pPr>
        <w:shd w:val="clear" w:color="auto" w:fill="FFFFFF"/>
        <w:spacing w:after="0" w:line="240" w:lineRule="auto"/>
        <w:ind w:firstLine="4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Відомість ресурсів: Будівельні матеріали, вироби і комплекти</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6"/>
        <w:gridCol w:w="1134"/>
        <w:gridCol w:w="1247"/>
      </w:tblGrid>
      <w:tr>
        <w:trPr>
          <w:trHeight w:val="230"/>
          <w:jc w:val="center"/>
        </w:trPr>
        <w:tc>
          <w:tcPr>
            <w:tcW w:w="6746" w:type="dxa"/>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Найменування </w:t>
            </w:r>
          </w:p>
        </w:tc>
        <w:tc>
          <w:tcPr>
            <w:tcW w:w="1134" w:type="dxa"/>
            <w:vAlign w:val="center"/>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 xml:space="preserve">Одиниця </w:t>
            </w:r>
          </w:p>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247" w:type="dxa"/>
            <w:vAlign w:val="center"/>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Кількість</w:t>
            </w:r>
          </w:p>
        </w:tc>
      </w:tr>
      <w:tr>
        <w:trPr>
          <w:jc w:val="center"/>
        </w:trPr>
        <w:tc>
          <w:tcPr>
            <w:tcW w:w="6746" w:type="dxa"/>
            <w:vAlign w:val="center"/>
          </w:tcPr>
          <w:p>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II. Будівельні машини і механізми</w:t>
            </w:r>
          </w:p>
        </w:tc>
        <w:tc>
          <w:tcPr>
            <w:tcW w:w="1134" w:type="dxa"/>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vAlign w:val="center"/>
          </w:tcPr>
          <w:p>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trPr>
          <w:jc w:val="center"/>
        </w:trPr>
        <w:tc>
          <w:tcPr>
            <w:tcW w:w="6746" w:type="dxa"/>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Автомобілі бортові, вантажопідйомність 3 т</w:t>
            </w:r>
          </w:p>
        </w:tc>
        <w:tc>
          <w:tcPr>
            <w:tcW w:w="1134" w:type="dxa"/>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4,53717</w:t>
            </w:r>
          </w:p>
        </w:tc>
      </w:tr>
      <w:tr>
        <w:trPr>
          <w:jc w:val="center"/>
        </w:trPr>
        <w:tc>
          <w:tcPr>
            <w:tcW w:w="6746" w:type="dxa"/>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Автомобілі бортові, вантажопідйомність 5 т</w:t>
            </w:r>
          </w:p>
        </w:tc>
        <w:tc>
          <w:tcPr>
            <w:tcW w:w="1134" w:type="dxa"/>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0,02682605</w:t>
            </w:r>
          </w:p>
        </w:tc>
      </w:tr>
      <w:tr>
        <w:trPr>
          <w:jc w:val="center"/>
        </w:trPr>
        <w:tc>
          <w:tcPr>
            <w:tcW w:w="6746" w:type="dxa"/>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переносний, вантажопідйомність 1 т</w:t>
            </w:r>
          </w:p>
        </w:tc>
        <w:tc>
          <w:tcPr>
            <w:tcW w:w="1134" w:type="dxa"/>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0,291</w:t>
            </w:r>
          </w:p>
        </w:tc>
      </w:tr>
      <w:tr>
        <w:trPr>
          <w:jc w:val="center"/>
        </w:trPr>
        <w:tc>
          <w:tcPr>
            <w:tcW w:w="6746" w:type="dxa"/>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Крани на автомобільному ходу, вантажопідйомність 6,3 т</w:t>
            </w:r>
          </w:p>
        </w:tc>
        <w:tc>
          <w:tcPr>
            <w:tcW w:w="1134" w:type="dxa"/>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0,8869568</w:t>
            </w:r>
          </w:p>
        </w:tc>
      </w:tr>
      <w:tr>
        <w:trPr>
          <w:jc w:val="center"/>
        </w:trPr>
        <w:tc>
          <w:tcPr>
            <w:tcW w:w="6746" w:type="dxa"/>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Крани на автомобільному ходу, вантажопідйомність 10 т</w:t>
            </w:r>
          </w:p>
        </w:tc>
        <w:tc>
          <w:tcPr>
            <w:tcW w:w="1134" w:type="dxa"/>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0,58894605</w:t>
            </w:r>
          </w:p>
        </w:tc>
      </w:tr>
      <w:tr>
        <w:trPr>
          <w:jc w:val="center"/>
        </w:trPr>
        <w:tc>
          <w:tcPr>
            <w:tcW w:w="6746" w:type="dxa"/>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Автонавантажувачі, вантажопідйомність 5 т</w:t>
            </w:r>
          </w:p>
        </w:tc>
        <w:tc>
          <w:tcPr>
            <w:tcW w:w="1134" w:type="dxa"/>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0,00585005</w:t>
            </w:r>
          </w:p>
        </w:tc>
      </w:tr>
      <w:tr>
        <w:trPr>
          <w:jc w:val="center"/>
        </w:trPr>
        <w:tc>
          <w:tcPr>
            <w:tcW w:w="6746" w:type="dxa"/>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Навантажувачі одноковшеві, вантажопідйомність 1 т</w:t>
            </w:r>
          </w:p>
        </w:tc>
        <w:tc>
          <w:tcPr>
            <w:tcW w:w="1134" w:type="dxa"/>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0,2157212</w:t>
            </w:r>
          </w:p>
        </w:tc>
      </w:tr>
      <w:tr>
        <w:trPr>
          <w:jc w:val="center"/>
        </w:trPr>
        <w:tc>
          <w:tcPr>
            <w:tcW w:w="6746" w:type="dxa"/>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Підіймачі щоглові будівельні, вантажопідйомність 0,5 т</w:t>
            </w:r>
          </w:p>
        </w:tc>
        <w:tc>
          <w:tcPr>
            <w:tcW w:w="1134" w:type="dxa"/>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21,57911635</w:t>
            </w:r>
          </w:p>
        </w:tc>
      </w:tr>
      <w:tr>
        <w:trPr>
          <w:jc w:val="center"/>
        </w:trPr>
        <w:tc>
          <w:tcPr>
            <w:tcW w:w="6746" w:type="dxa"/>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Підіймачі вантажопасажирські, вантажопідйомність 0,8 т</w:t>
            </w:r>
          </w:p>
        </w:tc>
        <w:tc>
          <w:tcPr>
            <w:tcW w:w="1134" w:type="dxa"/>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1,8217334</w:t>
            </w:r>
          </w:p>
        </w:tc>
      </w:tr>
      <w:tr>
        <w:trPr>
          <w:jc w:val="center"/>
        </w:trPr>
        <w:tc>
          <w:tcPr>
            <w:tcW w:w="6746" w:type="dxa"/>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Електростанції пересувні, потужність 4 кВт</w:t>
            </w:r>
          </w:p>
        </w:tc>
        <w:tc>
          <w:tcPr>
            <w:tcW w:w="1134" w:type="dxa"/>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1,15</w:t>
            </w:r>
          </w:p>
        </w:tc>
      </w:tr>
      <w:tr>
        <w:trPr>
          <w:jc w:val="center"/>
        </w:trPr>
        <w:tc>
          <w:tcPr>
            <w:tcW w:w="6746" w:type="dxa"/>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Агрегати зварювальні пересувні з бензиновим двигуном, з номінальним зварювальним струмом 250-400 А</w:t>
            </w:r>
          </w:p>
        </w:tc>
        <w:tc>
          <w:tcPr>
            <w:tcW w:w="1134" w:type="dxa"/>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0,88288</w:t>
            </w:r>
          </w:p>
        </w:tc>
      </w:tr>
      <w:tr>
        <w:trPr>
          <w:jc w:val="center"/>
        </w:trPr>
        <w:tc>
          <w:tcPr>
            <w:tcW w:w="6746" w:type="dxa"/>
          </w:tcPr>
          <w:p>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Установка для зварювання ручного дугового [постійного струму]</w:t>
            </w:r>
          </w:p>
        </w:tc>
        <w:tc>
          <w:tcPr>
            <w:tcW w:w="1134" w:type="dxa"/>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22,7434592</w:t>
            </w:r>
          </w:p>
        </w:tc>
      </w:tr>
      <w:tr>
        <w:trPr>
          <w:jc w:val="center"/>
        </w:trPr>
        <w:tc>
          <w:tcPr>
            <w:tcW w:w="6746" w:type="dxa"/>
          </w:tcPr>
          <w:p>
            <w:pPr>
              <w:keepLines/>
              <w:autoSpaceDE w:val="0"/>
              <w:autoSpaceDN w:val="0"/>
              <w:spacing w:after="0" w:line="240" w:lineRule="auto"/>
              <w:rPr>
                <w:rFonts w:ascii="Arial" w:hAnsi="Arial" w:cs="Arial"/>
                <w:sz w:val="20"/>
                <w:szCs w:val="20"/>
              </w:rPr>
            </w:pPr>
            <w:r>
              <w:rPr>
                <w:rFonts w:ascii="Arial" w:hAnsi="Arial" w:cs="Arial"/>
                <w:spacing w:val="-3"/>
                <w:sz w:val="20"/>
                <w:szCs w:val="20"/>
              </w:rPr>
              <w:t>Перетворювачі зварювальні з номінальним зварювальним струмом 315-500 А</w:t>
            </w:r>
          </w:p>
        </w:tc>
        <w:tc>
          <w:tcPr>
            <w:tcW w:w="1134" w:type="dxa"/>
          </w:tcPr>
          <w:p>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 год</w:t>
            </w:r>
          </w:p>
        </w:tc>
        <w:tc>
          <w:tcPr>
            <w:tcW w:w="1247" w:type="dxa"/>
          </w:tcPr>
          <w:p>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7,654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Установки з гнучким індуктором для індукційного нагрівання струмами частотою 50 Гц</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6,1088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Установки для гідравлічних випробувань трубопроводів, тиск нагнітання: низький 0,1 МПа [1 кгс/см2], високий 10 МПа [100 кгс/см2]</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Компресори пересувні з двигуном внутрішнього згоряння, тиск до 686 кПа [7 ат], продуктивність 2,2 м3/хв</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19,017762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Компресори пересувні з електродвигуном, тиск 600 кПа [6 ат], продуктивність 0,5 м3/хв</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0,45242495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Автоматичний апарат для зварювання оптичних волокон</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1,77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Апарати для стикового зварювання поліетиленових труб діаметром до 315 мм, потужність 3,7 кВт (працює від пересувної електростанції)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1,15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Машини свердлильні електричні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8,84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Прес гідравлічний з електроприводом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19,72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Прес-ножиці комбіновані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0,1424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Молотки відбійні пневматичні, при роботі від пересувних компресорних станцій</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15,5625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Верстати свердлильні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0,4272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Агрегати фарбувальні з пневматичним розпилюванням для фарбування фасадів будівель, продуктивність 500 м3/год</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0,45242495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Станція штукатурна для робіт із сухими гіпсовими та цементними сумішами, потужність насосу 5,5 кВт, продуктивність 5,0-85,0 л/хв</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36,485015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Перевезення сміття до 10 км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62,9295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Будiвельнi машини, врахованi в складi загальновиробничих витрат</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b/>
                <w:bCs/>
                <w:spacing w:val="-3"/>
                <w:sz w:val="20"/>
                <w:szCs w:val="20"/>
              </w:rPr>
            </w:pP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b/>
                <w:bCs/>
                <w:spacing w:val="-3"/>
                <w:sz w:val="20"/>
                <w:szCs w:val="20"/>
              </w:rPr>
            </w:pP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Перфоратор електромагнітний</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33,5984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Пістолет монтажний</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26,73106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Лебідки ручні та важільні, тягове зусилля до 14,72 кН [1,5 т]</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6,5201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Лебідки електричні, тягове зусилля до 5,79 кН [0,59 т]</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0,506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Лебідки електричні, тягове зусилля до 49,05 кН [5 т]</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0,0091494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Термопенали з масою завантажувальних електродів не більше 5 кг</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7,654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Машини шліфувальні електричні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0,0712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Пилка дискова електрична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55,61713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Апарат для газового зварювання і різання</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1,00108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Дрилі електричні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57,61761895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Вібратори поверхневі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11,4654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Шуруповерти</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54,9062348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Фарборозпилювачі ручні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41,69095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Перфоратор пневматичний</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6,394662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Перфоратори електричні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143,9572855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Насос гідравлічний ручний</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3,376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Пилосос промисловий</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6,624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Станок для різання керамічної плитки</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149,089105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Апарат для зварювання поліпропіленових труб діаметром від 16 до 75 мм, потужність 1,5 кВт</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маш. год</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1,1256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III. Будівельні матеріали, вироби і комплекти</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b/>
                <w:bCs/>
                <w:spacing w:val="-3"/>
                <w:sz w:val="20"/>
                <w:szCs w:val="20"/>
              </w:rPr>
            </w:pP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b/>
                <w:bCs/>
                <w:spacing w:val="-3"/>
                <w:sz w:val="20"/>
                <w:szCs w:val="20"/>
              </w:rPr>
            </w:pP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Азбестовий картон загального призначення [КАОН-1], товщина 2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0,00468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Азбестовий шнур загального призначення [ШАОН-1], діаметр 8,0-10,0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0,00191172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Саморіз для кріплення гіпсокартону TN 3,5х25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1355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Болти із шестигранною головкою оцинковані, діаметр різьби 12-[14]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0,00099</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Гвинти з напівкруглою головкою, довжина 50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0,00131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Дюбель забивний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721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Дюбель для кріплення профілю</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110</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Саморіз для кріплення металу LN 3,5x9,5 мм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678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Дюбелi в комплекті, 6х40 мм пластик гриб</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73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Цвяхи опоряджувальні круглі 1,0х16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0,000009</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Цвяхи дротяні оцинковані для азбестоцементної покрівлі 4,0х100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0,0009</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Цвяхи будівельні з плоскою головкою 1,6х50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0,00022855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Цвяхи толеві круглі 2,5х40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0,00873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Рідина для промивки системи опалення (концентрат), 1 л GEB G30 Desembuant</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Грунт алкідний MIKS PRIMER антикорозійний сірий 0,9 кг</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Фарба для радіаторів опалення 1 кг Elite Construction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Гіпсові в'яжучі Г-3</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0,2428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Шпаклівка на шов</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23,7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Вапно хлорне, марка 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0,0000044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Плитки керамічні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329,75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Плитки керамiчнi для підлог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280,58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Вироби гумові технічні морозостійкі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1,91676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Каболка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0,00063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Кисень технічний газоподібний</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м3</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0,5799</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земляна густотерта олійна, мумія, сурик залізний</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0,000832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олійна та алкідна густотерта для внутрішніх робіт МА-025 бежева, світло-бежева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0,00068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Стрічка сталева пакувальна, м'яка, нормальної точності 0,7х(20-50)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0,0092462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Лiнолеум полiвiнiлхлоридний комерційний на теплозвукоiзолювальнiй пiдосновi</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27,54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Масло індустрійне И-20А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0,000188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Мастика герметизувальна нетверднуча "Гелан"</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0,0010761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Мастика клеюча каучукова КН-2</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15,31205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Листи гiпсокартоннi для стелі із вологостійкого гіпсокартону / 9,5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45,69</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Листи гiпсокартоннi для стін із вологостійкого гіпсокартону / 12,5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27,3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сталевий низьковуглецевий різного призначення оцинкований, діаметр 1,6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0,0012582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сталевий низьковуглецевий різного призначення чорний, діаметр 1,6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0,0458088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сталевий низьковуглецевий різного призначення чорний, діаметр 6,0-6,3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0,006932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Маячні профілі металеві оцинковані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365,512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Пластина гумова рулонна вулканізована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0,24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дротяна ткана з квадратними чарунками N 05 без покриття</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9,04405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Залiзнi вироби для блокiв дверних</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комплект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Уайт-спірит</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0,000155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Цемент гіпсоглиноземистий розширюваний</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Шпагат паперовий</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0,00017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Шурупи з напівкруглою головкою, діаметр стрижня 3,5 мм, довжина 30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0,008332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Шурупи з напівкруглою головкою, діаметр стрижня 3,5 мм, довжина 35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0,000038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Шурупи з плоскою головкою 3,5х35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0,002134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Шурупи з напівкруглою головкою, діаметр стрижня 6 мм, довжина 40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0,0000225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Шурупи з напівкруглою головкою, діаметр стрижня 8 мм, довжина 100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0,0000043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Електроди, діаметр 2 мм, марка Э42</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0,00004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Електроди, діаметр 4 мм, марка Э42</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0,00179564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Електроди, діаметр 4 мм, марка Э55</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0,00004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Електроди, діаметр 5 мм, марка Э42</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0,003382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Електроди, діаметр 5 мм, марка Э42А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0,0045172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Смола кам'яновугільна для дорожнього будівництва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0,000101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Папір шліфувальний</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6,70994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Дрантя</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0,0544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Грунтовка глибокого проникнення</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л</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198,51007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Замазка захисна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2,88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Круги армовані абразивні відрізні, діаметр 180х3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3,78246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Круги армовані абразивні зачисні, діаметр 180х6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0,0178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гумовий N88-Н</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0,0033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Суміш суха клейова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3127,1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Затирка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272,63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Оліфа натуральна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0,606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Стрічка армувальна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м.п.</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65,5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Стрічка поліетиленова з липким шаром, марка 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0,37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Стрічка ущільнювальна  шириною 30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39,2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Монтажна стрічка Вентс АЛТ</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рулон</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Плінтуси для підлог з пластикату</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24,947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сталевий низьковуглецевий загального призначення, діаметр 0,8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0,37675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Дріт сталевий низьковуглецевий загального призначення, діаметр 2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5,5759</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Прокладки гумові [пластина технічна пресована]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Толь з крупнозернистою посипкою гідроізоляційна, марка ТГ-350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0,3834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Сітка штукатурна скловолокниста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55,3819</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Кутики штукатурні металеві оцинковані перфоровані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143,85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Болти будівельні з гайками та шайбами</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0,0062796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Шайби</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0,0000108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Тальк мелений, 1 сорт</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0,00828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Суміші сухі штукатурні гіпсові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8706,53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Шпаклівка полімерцементна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0,513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Мінеральна шпаклівка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1935,02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Гермобутил мастика 2М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5,25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Піна монтажна 750мл</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бал</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24,3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Сумiш для укладання блокiв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68,4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акрилова біла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л</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21,44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акрилова кольорована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л</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222,34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Гідроізоляційна плівка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334,65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Теплова ізоляція з мін.вати повітропроводу t=50 з армованим алюмінієвим шаром Isotec Kim-Al</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15,07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Бруски обрізні з хвойних порід, довжина 4-6,5 м, ширина 75-150 мм, товщина 40-75 мм, ІІІ сорт</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м3</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0,011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Дошки необрізні з хвойних порід, довжина 4-6,5 м, усі ширини, товщина 25 мм, ІІІ сорт</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м3</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0,000864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Люк підлоговий ревізійний 300х300мм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Люк під плитку нажимний 300х600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редукційна ніпельна PN 20 25x20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Профіль основний  3,7м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62,3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Профіль поперечний 0,6м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384,3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Профіль поперечний 1,2м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384,3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Пружина підвісу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194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Стержень-гачок</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194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Стержень-кільце</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194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Профіль кутовий 3м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87,3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Профіль напрямний UW-100, 3м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7,5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Профіль стійковий CW-100, 3м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15,6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Колiно настінне водорозетка 20х1,2 ВР</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 із поліпропілену діам. 20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 із поліпропілену діам. 25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 із поліпропілену діам. 25х20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PN 20 дiам. 20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PN 20 дiам. 25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із зовнішньою різьбою діам. 20х1/2"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9</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Муфта із зовнішньою різьбою діам. 25х3/4"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Заглушка з різьбою 1/2'' ЗР</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Відвід 90 град. діам. 20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Відвід 90 град. діам. 25</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Обвiд дiам. 20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Хомут одинарний із резиновими вкладками 20-23</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Хомут одинарний із резиновими вкладками 25-28</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Хомут ХЦ ф160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9</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Хомут ХЦ ф200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Хомут ХЦ ф125</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Хомут ХЦ ф100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шаровий з американкою прямою 1/2" ВЗ</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Ніпель різьбовий 1/2"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10</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Зворотній клапан 1/2"</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шаровий ВЗ 1/2"</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шаровий ВЗ 3/4"</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Зворотній клапан 3/4"</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Ніпель різьбовий 3/4"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Мембранний клапан 1/2"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Перехід різьбовий 3/4" Зх1/2" В</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 різьбовий 3/4" ВВВ</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Американка пряма 1/2"</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 різьбовий 1/2" ВВВ</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Відвід різьбовий 1/2" ВВ</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Різьба коротка 1/2"</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Кран шаровий ф20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Перехід різьбовий 1/2" Вх3/4" В</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Американка кутова 3/4"</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Захисна трубка ПВХ гофрована d=20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838,3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трубна 22х6,0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30</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трубна 28х13,0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для внутрішньої каналізації діам. 50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поліпропіленові для внутрішньої каналізації діам. 110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Відводи каналiзацiйнi 45 град. із полiпропiлену дiам. 50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Відводи каналiзацiйнi 45 град. із полiпропiлену дiам. 110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Трійники каналізаційні 45 град. із поліпропілену діам. 50х50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Трійники каналізаційні 45 град. із поліпропілену діам. 110х50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Трійники каналізаційні 45 град. із поліпропілену діам. 110х110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Перехiдник чавун-пластик DN 110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Перехiдники до каналiзацiйних труб iз полiпропiлену дiам. 110х50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Перехiдник чавун-пластик DN 50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Шланг PARIGI 1/2"х1/2"</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Гофра для підключення унітазу</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Ревiзiя HTRE DN 110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Заглушка HTM DN 110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Заглушка HTM DN 50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Хомут з гумовим ущільненням, DN 50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Хомут з гумовим ущільненням, DN 110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9</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 ПВХ 16х16</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151,5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 ПВХ 25х40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101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Кабельний короб 40х20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40,4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Мінераловатні плити, щільність 80 кг/м3, t=100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26,78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Сталь листова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0,03645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Вартість труб оцинкованих</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0,18868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Сталь кутова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0,10327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Сталь швелерна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0,10478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Металоконструкції індивідуальні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0,0238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Блоки віконні металопластикові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32,2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Блоки дверні металопластикові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Блоки двернi внутрiшнi індивідуальні МДФ</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20,25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Наличники, тип Н-1, Н-2, розмір 13х74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113,6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Дошки підвіконні пластикові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18,36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Планка відливу з оцинкованої сталі з полімерним покриттям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18,6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 клас А500С, діаметр 18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0,0052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Гарячекатана арматурна сталь періодичного профілю, клас А500С, діаметр 20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0,00925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Поручень зігнутий (кут 90 град.) 600х600мм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Опора настінна консольна, 725х185мм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Поручень пристінний MEDOK 500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Корпус щита для установки в нішу ЩРВ-3/48(3)</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Пiдвiс прямий CD 60/27</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30</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Тяга підвісу</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30</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Однорівневий з"єднувач профілів типу "краб"</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73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Подовжувач профілів 60/27 однорівневий</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Болти з гайками та шайбами, діаметр 16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0,00316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Гнучка вставка ВВГ ф160 Вентс</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Гнучка вставка ВВГ ф100 Вентс</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Декоративна манжета ф150 для вентиляційних отворів</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Відвід ф160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Заглушка зовнішня ф160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Врізка ф160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Відвід ф200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Качка вентиляційна зі зміщенням в двох площинах ф200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Відвід ф125</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Заглушка зовнішня ф125</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Врізка ф125</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Перехід ф125/100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Декоративна манжета ф200 для вентиляційних отворів</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Декоративна манжета ф125 для вентиляційних отворів</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Зонт витяжний купольний (з нержавіючої сталі) 600х600х400 (h)</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Зонт на дах круглий ф200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Шиберна засувка ф200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Пiсуар в комплекті з кнопочним краном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Змішувач для умивальника з донним клапаном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комплект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Набір для гігієнічного душу в комплекті зі шлангою та лійкою</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комплект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Трапи металеві ф50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комплект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Умивальник з отвором 60,5х48,5</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комплект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П`єдестал під умивальник</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комплект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Унiтаз компакт ЕКО 2000 вертикальний випуск</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Фланці плоскі приварні із сталі ВСт3сп2, ВСт3сп3, тиск 1,0 МПа [10 кгс/см2], діаметр 50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Фланці плоскі приварні із сталі ВСт3сп2, ВСт3сп3, тиск 1,0 МПа [10 кгс/см2], діаметр 65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Повітроводи класу Н з тонколистової оцинкованої з неперервних ліній сталі товщиною 0,6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21,48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м3</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0,91153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Проводи силові з полівінілхлоридною ізоляцією з мідною жилою підвищеної гнучкості, марка ПВЗ, переріз 4 мм2</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1000м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0,015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Глухарі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0,099</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Сталь кутова 32х32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Грунтовка ГФ-021 червоно-коричнева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0,0009981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Грунтовка ГФ-021 червоно-коричнева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0,001584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фенолполівінілацетальний, марка БФ-2, І сорт</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0,00024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Ксилол нафтовий, марка 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0,0004304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Лак БТ-577</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0,00058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Натрій фтористий технічний, марка А, І сорт</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0,192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Емаль антикорозійна ПФ-115 сіра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0,0021071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Цегла керамічна одинарна повнотіла, розміри 250х120х65 мм, марка М100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1000шт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0,959529</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кладковий важкий цементний, марка М50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м3</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0,0307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кладковий важкий цементний, марка М75</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м3</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0,4956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кладковий важкий цементний, марка М100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м3</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0,0999</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Розчин поризований цементно-піщаний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м3</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14,9787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кладковий важкий цементно-вапняковий, марка М50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м3</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0,11369</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азбоцементний</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м3</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0,072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опоряджувальний цементно-вапняковий 1:1:6</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м3</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6,34074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Розчин готовий опоряджувальний вапняковий 1:2,5</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м3</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1,76687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Газоблоки D500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м3</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2,97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Плита підвісної стелі 600х600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254,8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Автоматичний вимикач ВА47-100 20А 3р</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Автоматичний вимикач ВА47-29м 6А 1р</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Диф. автомат АВДТ32 16А 30мА 2р</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10</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Автоматичний вимикач ВА47-29м 2А 1р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Дзвінок електричний ЗВП-220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Кнопка управління одноштифтова ПКЕ-222-1У2</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для установки вимикачів і розеток</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Розетка штепсельна герметична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Вимикачі одноклавішні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20</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Вимикачі двоклавішні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штепсельна із заземлючим для прихованого встановлення</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 із 4-х штепсельних розеток</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Розетка штепсельна із заземлючим для прихованого встановлення здвоєна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9</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 шлефів адресний БША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 вводу-виводу БВВ-А-02</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Регулятор швидкості обертів РС 1-300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Регулятор швидкості обертів Aerostar</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Припої олов'яно-свинцеві безсурм'янисті в чушках, марка ПОС30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0,00004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поліпропіленова армована PN20 Stabi Al ф20х3,4</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Труба поліпропіленова армована PN20 Stabi Al ф25х4,2</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Склострічка липка ізоляційна на полікасиновому компаунді, марка ЛСЭПЛ, ширина 20-30 мм, товщина від 0,14 до 0,19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0,024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Стрічка ізоляційна "Пара"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2,6492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Бірка маркувальна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0,3893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Дюбелі У658, У661</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4,3075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Дюбель-цвях ДГПШ 4,5х50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0,6494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Дюбелі 100х10мм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2,28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Шуруп універсальний 4,0х50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0,63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База для адресних сповіщувачів РИП-А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19</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Муфти поліетиленові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79,68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Очіс льняний</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0,00003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Паронітові прокладки</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0,036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Патрони Д або К довгі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0,425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Патрони до пістолета Д-2</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0,2244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Перемичка заземлювальна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Провід ПРТО-500, переріз 1x1,5 мм2</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1000м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0,045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Скоби будівельні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полівінілхлоридні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0,00434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Хомут Х25У1</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Вазелін технічний</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0,00017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 БМК5</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0,996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Лак електроізолювальний N318</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0,00017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Пароніт</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0,0002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Пропан-бутан технічний</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м3</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0,0706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аварійного освітлення HL306L</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Монтажна ДІН-рейка довж. 60 см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N і PE-шини на Дін-рейку</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Ізолятор для монтажу N і PE-шин на Дін-рейку</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Затискачі клемні на монтажну дін-рейку ЗНИ-4</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Дверцята інженерних ніш 300х300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Відбійний кутик</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Герметик силіконовий універсальний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л</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3,588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Пінополістирольна плита ПСБ-С-35, товщина 50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м2</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296,82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Фільтр грубої очистки 1/2"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Фільтр картрижний 3/4" Aquafilter або аналог</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Кріплення для трубопроводів [кронштейни, планки, хомути]</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21,7096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Металоконструкції для кріплення повітропроводів</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кг</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Сифон для умивальника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Сифон для пісуара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Таймер цифровий добовий ТМ 41 3500W/16A</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Протипожежні гільзи 104-113 мм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Лічильник обліку холодної води 1/2" ВСКМ</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Профіль холодногнутий напрямний UD 28х27</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39,16</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Профіль холодногнутий стійковий CD 60/27</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110,95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Дюбель 6х40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500</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Дюбель 6х60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100</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Дюбель 8х60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20</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Патч-корд 5e кат. RJ45 литий зелений UTP 1м CAT.5E UTP CORD-1M-GREEN</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монтажна під 2 модуля PDB DKC 10034</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Свiтильник світлодіодний ДВО20У-36-111 УХЛ4</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Свiтильник світлодіодний ДББ-64В-8-022 УХЛ4</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Свiтильник світлодіодний ДББ-64В-8-082 УХЛ4</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Світильник світлодіодний ДБО02ВСП-6-г-104 УХЛЗ.1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Свiтильник світлодіодний ДПП07В-20-313 УХЛ4</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Свiтильник світлодіодний ДПО20У-36-111 УХЛ4</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27</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Оповіщувач свiтловий ОС-1 (24V) "ВИХІД"</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Покажчик руху ОС-6.4 (24V) "СТРІЛКА"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Пристрій передавання пожежної тривоги TK-2/GSM-01</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Акумулятор 12В/7А год</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Пульт диспетчера СД02</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Модуль виклику ВМ-01</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Акумулятор 12В/2А год</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Акумулятор 12В/18А год</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Прилад приймально-контрольний пожежний Варта-Адрес</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Оповіщувач світлозвуковий ОС3 "ДЖМІЛЬ" (24V)</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Сповiщувач ручний ИПР-1 (ІР54) зовнішній</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Сповiщувач ручний ИПР-А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Сповiщувач тепловий ИПT-А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Сповiщувач димовий ИПД-А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Припливно-витяжна решітка МВ 150 БВ Вентс</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Припливно-витяжна решітка МВ 125 БВ Вентс</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Решітка зовнішня ф125 Вентс</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3х1,5 мм2 ВВГнгд-FR-1,0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1000м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0,0515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3х1,5 мм2 ВВГнгд-1,0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1000м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0,3914</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3х2,5 мм2 ВВГнгд-1,0</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1000м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0,408</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JE-H(St)H E30 1х2х0,8</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1000м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0,2575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J-Y(St)Y 1х2х0,8</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1000м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0,309</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КПВЭ-ВП (100) 4х2х0,51 (FTPcat.5e)</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1000м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0,0412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NHXH FE 180/E30 3х1,5</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1000м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0,0515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JE-H(St)H E30 2х2х0,8</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1000м</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0,1545</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розгалужувальна універсальна</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110</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IV. Устаткування</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b/>
                <w:bCs/>
                <w:spacing w:val="-3"/>
                <w:sz w:val="20"/>
                <w:szCs w:val="20"/>
              </w:rPr>
            </w:pP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b/>
                <w:bCs/>
                <w:spacing w:val="-3"/>
                <w:sz w:val="20"/>
                <w:szCs w:val="20"/>
              </w:rPr>
            </w:pP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Моноблок УКіМО BRAND-AUDIO-2-240-WM</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8-ми портовий маршрутизатор MikroTik RB2011iL-IN</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24=х портовий комутатор MikroTik CRS326-24G-2S+RM</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Бойлер Runde Dry Slim AWH/M 80 H EWT Clima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Пристрій комутаційний УКР-24-2</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Гучномовець (DSP507, настінний) BRAND-AUDIO-WL-3</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9</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Рекуператор 185/177 м3/год Prana 200C</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Витяжний вентилятор RV 160 L Aerostar</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Витяжний вентилятор ВКМ 200 Вентс</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Витяжний вентилятор RV 100 L Aerostar</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1</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Автоматична сушарка для рук </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2</w:t>
            </w: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b/>
                <w:bCs/>
                <w:spacing w:val="-3"/>
                <w:sz w:val="20"/>
                <w:szCs w:val="20"/>
              </w:rPr>
            </w:pPr>
            <w:r>
              <w:rPr>
                <w:rFonts w:ascii="Arial" w:hAnsi="Arial" w:cs="Arial"/>
                <w:b/>
                <w:bCs/>
                <w:spacing w:val="-3"/>
                <w:sz w:val="20"/>
                <w:szCs w:val="20"/>
              </w:rPr>
              <w:t>Довідкові дані</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b/>
                <w:bCs/>
                <w:spacing w:val="-3"/>
                <w:sz w:val="20"/>
                <w:szCs w:val="20"/>
              </w:rPr>
            </w:pP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b/>
                <w:bCs/>
                <w:spacing w:val="-3"/>
                <w:sz w:val="20"/>
                <w:szCs w:val="20"/>
              </w:rPr>
            </w:pPr>
          </w:p>
        </w:tc>
      </w:tr>
      <w:tr>
        <w:trPr>
          <w:jc w:val="center"/>
        </w:trPr>
        <w:tc>
          <w:tcPr>
            <w:tcW w:w="6746"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Будівельне сміття</w:t>
            </w:r>
          </w:p>
        </w:tc>
        <w:tc>
          <w:tcPr>
            <w:tcW w:w="1134"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т</w:t>
            </w:r>
          </w:p>
        </w:tc>
        <w:tc>
          <w:tcPr>
            <w:tcW w:w="1247" w:type="dxa"/>
            <w:tcBorders>
              <w:top w:val="single" w:sz="4" w:space="0" w:color="auto"/>
              <w:left w:val="single" w:sz="4" w:space="0" w:color="auto"/>
              <w:bottom w:val="single" w:sz="4" w:space="0" w:color="auto"/>
              <w:right w:val="single" w:sz="4" w:space="0" w:color="auto"/>
            </w:tcBorders>
          </w:tcPr>
          <w:p>
            <w:pPr>
              <w:keepLines/>
              <w:autoSpaceDE w:val="0"/>
              <w:autoSpaceDN w:val="0"/>
              <w:spacing w:after="0" w:line="240" w:lineRule="auto"/>
              <w:jc w:val="right"/>
              <w:rPr>
                <w:rFonts w:ascii="Arial" w:hAnsi="Arial" w:cs="Arial"/>
                <w:spacing w:val="-3"/>
                <w:sz w:val="20"/>
                <w:szCs w:val="20"/>
              </w:rPr>
            </w:pPr>
            <w:r>
              <w:rPr>
                <w:rFonts w:ascii="Arial" w:hAnsi="Arial" w:cs="Arial"/>
                <w:spacing w:val="-3"/>
                <w:sz w:val="20"/>
                <w:szCs w:val="20"/>
              </w:rPr>
              <w:t>61,51897628</w:t>
            </w:r>
          </w:p>
        </w:tc>
      </w:tr>
    </w:tbl>
    <w:p>
      <w:pPr>
        <w:spacing w:after="0" w:line="240" w:lineRule="auto"/>
        <w:ind w:firstLine="708"/>
        <w:contextualSpacing/>
        <w:jc w:val="both"/>
        <w:rPr>
          <w:rFonts w:ascii="Times New Roman" w:hAnsi="Times New Roman" w:cs="Times New Roman"/>
          <w:b/>
          <w:i/>
          <w:sz w:val="20"/>
          <w:szCs w:val="24"/>
        </w:rPr>
      </w:pPr>
    </w:p>
    <w:p>
      <w:pPr>
        <w:spacing w:after="0" w:line="240" w:lineRule="auto"/>
        <w:ind w:firstLine="708"/>
        <w:contextualSpacing/>
        <w:jc w:val="both"/>
        <w:rPr>
          <w:rFonts w:ascii="Times New Roman" w:hAnsi="Times New Roman" w:cs="Times New Roman"/>
          <w:bCs/>
          <w:i/>
          <w:sz w:val="20"/>
          <w:szCs w:val="24"/>
        </w:rPr>
      </w:pPr>
      <w:r>
        <w:rPr>
          <w:rFonts w:ascii="Times New Roman" w:hAnsi="Times New Roman" w:cs="Times New Roman"/>
          <w:bCs/>
          <w:i/>
          <w:sz w:val="20"/>
          <w:szCs w:val="24"/>
        </w:rPr>
        <w:t>* У разі посилання у технічній специфікації на конкретну торговельну марку чи фірму, патент, конструкцію або тип предмета закупівлі, джерело його походження або виробника, якщо таке посилання є необхідним, воно повинно бути обґрунтованим та містити вираз «або еквівалент».</w:t>
      </w:r>
    </w:p>
    <w:p/>
    <w:sectPr>
      <w:headerReference w:type="default" r:id="rId6"/>
      <w:pgSz w:w="11906" w:h="16838"/>
      <w:pgMar w:top="709" w:right="567" w:bottom="567"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64"/>
        <w:tab w:val="right" w:pos="7643"/>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1AB8"/>
    <w:multiLevelType w:val="hybridMultilevel"/>
    <w:tmpl w:val="424268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4791CDC"/>
    <w:multiLevelType w:val="hybridMultilevel"/>
    <w:tmpl w:val="A8DC69DE"/>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2D793767"/>
    <w:multiLevelType w:val="multilevel"/>
    <w:tmpl w:val="2EEA3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FA31685"/>
    <w:multiLevelType w:val="hybridMultilevel"/>
    <w:tmpl w:val="C502868C"/>
    <w:lvl w:ilvl="0" w:tplc="F93ADD64">
      <w:start w:val="18"/>
      <w:numFmt w:val="bullet"/>
      <w:lvlText w:val="-"/>
      <w:lvlJc w:val="left"/>
      <w:pPr>
        <w:ind w:left="587" w:hanging="360"/>
      </w:pPr>
      <w:rPr>
        <w:rFonts w:ascii="Times New Roman" w:eastAsia="Arial" w:hAnsi="Times New Roman" w:cs="Times New Roman" w:hint="default"/>
        <w:color w:val="auto"/>
        <w:sz w:val="24"/>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lang w:eastAsia="ru-RU"/>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libri" w:eastAsia="Calibri" w:hAnsi="Calibri" w:cs="Calibri"/>
      <w:b/>
      <w:sz w:val="48"/>
      <w:szCs w:val="48"/>
      <w:lang w:eastAsia="ru-RU"/>
    </w:rPr>
  </w:style>
  <w:style w:type="character" w:customStyle="1" w:styleId="20">
    <w:name w:val="Заголовок 2 Знак"/>
    <w:basedOn w:val="a0"/>
    <w:link w:val="2"/>
    <w:uiPriority w:val="9"/>
    <w:semiHidden/>
    <w:rPr>
      <w:rFonts w:ascii="Calibri" w:eastAsia="Calibri" w:hAnsi="Calibri" w:cs="Calibri"/>
      <w:b/>
      <w:sz w:val="36"/>
      <w:szCs w:val="36"/>
      <w:lang w:eastAsia="ru-RU"/>
    </w:rPr>
  </w:style>
  <w:style w:type="character" w:customStyle="1" w:styleId="30">
    <w:name w:val="Заголовок 3 Знак"/>
    <w:basedOn w:val="a0"/>
    <w:link w:val="3"/>
    <w:uiPriority w:val="9"/>
    <w:semiHidden/>
    <w:rPr>
      <w:rFonts w:ascii="Calibri" w:eastAsia="Calibri" w:hAnsi="Calibri" w:cs="Calibri"/>
      <w:b/>
      <w:sz w:val="28"/>
      <w:szCs w:val="28"/>
      <w:lang w:eastAsia="ru-RU"/>
    </w:rPr>
  </w:style>
  <w:style w:type="character" w:customStyle="1" w:styleId="40">
    <w:name w:val="Заголовок 4 Знак"/>
    <w:basedOn w:val="a0"/>
    <w:link w:val="4"/>
    <w:uiPriority w:val="9"/>
    <w:semiHidden/>
    <w:rPr>
      <w:rFonts w:ascii="Calibri" w:eastAsia="Calibri" w:hAnsi="Calibri" w:cs="Calibri"/>
      <w:b/>
      <w:sz w:val="24"/>
      <w:szCs w:val="24"/>
      <w:lang w:eastAsia="ru-RU"/>
    </w:rPr>
  </w:style>
  <w:style w:type="character" w:customStyle="1" w:styleId="50">
    <w:name w:val="Заголовок 5 Знак"/>
    <w:basedOn w:val="a0"/>
    <w:link w:val="5"/>
    <w:uiPriority w:val="9"/>
    <w:semiHidden/>
    <w:rPr>
      <w:rFonts w:ascii="Calibri" w:eastAsia="Calibri" w:hAnsi="Calibri" w:cs="Calibri"/>
      <w:b/>
      <w:lang w:eastAsia="ru-RU"/>
    </w:rPr>
  </w:style>
  <w:style w:type="character" w:customStyle="1" w:styleId="60">
    <w:name w:val="Заголовок 6 Знак"/>
    <w:basedOn w:val="a0"/>
    <w:link w:val="6"/>
    <w:uiPriority w:val="9"/>
    <w:semiHidden/>
    <w:rPr>
      <w:rFonts w:ascii="Calibri" w:eastAsia="Calibri" w:hAnsi="Calibri" w:cs="Calibri"/>
      <w:b/>
      <w:sz w:val="20"/>
      <w:szCs w:val="20"/>
      <w:lang w:eastAsia="ru-RU"/>
    </w:rPr>
  </w:style>
  <w:style w:type="table" w:customStyle="1" w:styleId="NormalTable0">
    <w:name w:val="Normal Table0"/>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character" w:customStyle="1" w:styleId="a4">
    <w:name w:val="Название Знак"/>
    <w:basedOn w:val="a0"/>
    <w:link w:val="a3"/>
    <w:uiPriority w:val="10"/>
    <w:rPr>
      <w:rFonts w:ascii="Calibri" w:eastAsia="Calibri" w:hAnsi="Calibri" w:cs="Calibri"/>
      <w:b/>
      <w:sz w:val="72"/>
      <w:szCs w:val="72"/>
      <w:lang w:eastAsia="ru-RU"/>
    </w:rPr>
  </w:style>
  <w:style w:type="table" w:customStyle="1" w:styleId="TableNormal">
    <w:name w:val="Table Normal"/>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table" w:customStyle="1" w:styleId="TableNormal0">
    <w:name w:val="Table Normal0"/>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5">
    <w:name w:val="Subtitle"/>
    <w:basedOn w:val="a"/>
    <w:next w:val="a"/>
    <w:link w:val="a6"/>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Pr>
      <w:rFonts w:ascii="Georgia" w:eastAsia="Georgia" w:hAnsi="Georgia" w:cs="Georgia"/>
      <w:i/>
      <w:color w:val="666666"/>
      <w:sz w:val="48"/>
      <w:szCs w:val="48"/>
      <w:lang w:eastAsia="ru-RU"/>
    </w:rPr>
  </w:style>
  <w:style w:type="character" w:styleId="a7">
    <w:name w:val="Hyperlink"/>
    <w:basedOn w:val="a0"/>
    <w:uiPriority w:val="99"/>
    <w:semiHidden/>
    <w:unhideWhenUsed/>
    <w:rPr>
      <w:color w:val="0000FF"/>
      <w:u w:val="single"/>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8">
    <w:name w:val="Table Grid"/>
    <w:basedOn w:val="a1"/>
    <w:uiPriority w:val="39"/>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Pr>
      <w:sz w:val="16"/>
      <w:szCs w:val="16"/>
    </w:r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rFonts w:ascii="Calibri" w:eastAsia="Calibri" w:hAnsi="Calibri" w:cs="Calibri"/>
      <w:sz w:val="20"/>
      <w:szCs w:val="20"/>
      <w:lang w:eastAsia="ru-RU"/>
    </w:rPr>
  </w:style>
  <w:style w:type="paragraph" w:styleId="ac">
    <w:name w:val="annotation subject"/>
    <w:basedOn w:val="aa"/>
    <w:next w:val="aa"/>
    <w:link w:val="ad"/>
    <w:uiPriority w:val="99"/>
    <w:semiHidden/>
    <w:unhideWhenUsed/>
    <w:rPr>
      <w:b/>
      <w:bCs/>
    </w:rPr>
  </w:style>
  <w:style w:type="character" w:customStyle="1" w:styleId="ad">
    <w:name w:val="Тема примечания Знак"/>
    <w:basedOn w:val="ab"/>
    <w:link w:val="ac"/>
    <w:uiPriority w:val="99"/>
    <w:semiHidden/>
    <w:rPr>
      <w:rFonts w:ascii="Calibri" w:eastAsia="Calibri" w:hAnsi="Calibri" w:cs="Calibri"/>
      <w:b/>
      <w:bCs/>
      <w:sz w:val="20"/>
      <w:szCs w:val="20"/>
      <w:lang w:eastAsia="ru-RU"/>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Pr>
      <w:rFonts w:ascii="Segoe UI" w:eastAsia="Calibri" w:hAnsi="Segoe UI" w:cs="Segoe UI"/>
      <w:sz w:val="18"/>
      <w:szCs w:val="18"/>
      <w:lang w:eastAsia="ru-RU"/>
    </w:rPr>
  </w:style>
  <w:style w:type="character" w:customStyle="1" w:styleId="11">
    <w:name w:val="Обычный (веб) Знак1"/>
    <w:aliases w:val="Обычный (веб) Знак Знак"/>
    <w:link w:val="af0"/>
    <w:uiPriority w:val="99"/>
    <w:semiHidden/>
    <w:locked/>
    <w:rPr>
      <w:rFonts w:ascii="Times New Roman" w:eastAsia="Times New Roman" w:hAnsi="Times New Roman" w:cs="Times New Roman"/>
      <w:sz w:val="24"/>
      <w:szCs w:val="24"/>
      <w:lang w:val="x-none"/>
    </w:rPr>
  </w:style>
  <w:style w:type="paragraph" w:styleId="af0">
    <w:name w:val="Normal (Web)"/>
    <w:aliases w:val="Обычный (веб) Знак"/>
    <w:basedOn w:val="a"/>
    <w:link w:val="11"/>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x-none" w:eastAsia="en-US"/>
    </w:rPr>
  </w:style>
  <w:style w:type="paragraph" w:styleId="af1">
    <w:name w:val="header"/>
    <w:basedOn w:val="a"/>
    <w:link w:val="af2"/>
    <w:uiPriority w:val="99"/>
    <w:unhideWhenUsed/>
    <w:pPr>
      <w:tabs>
        <w:tab w:val="center" w:pos="4819"/>
        <w:tab w:val="right" w:pos="9639"/>
      </w:tabs>
      <w:spacing w:after="0" w:line="240" w:lineRule="auto"/>
    </w:pPr>
  </w:style>
  <w:style w:type="character" w:customStyle="1" w:styleId="af2">
    <w:name w:val="Верхний колонтитул Знак"/>
    <w:basedOn w:val="a0"/>
    <w:link w:val="af1"/>
    <w:uiPriority w:val="99"/>
    <w:rPr>
      <w:rFonts w:ascii="Calibri" w:eastAsia="Calibri" w:hAnsi="Calibri" w:cs="Calibri"/>
      <w:lang w:eastAsia="ru-RU"/>
    </w:rPr>
  </w:style>
  <w:style w:type="paragraph" w:styleId="af3">
    <w:name w:val="footer"/>
    <w:basedOn w:val="a"/>
    <w:link w:val="af4"/>
    <w:uiPriority w:val="99"/>
    <w:unhideWhenUsed/>
    <w:pPr>
      <w:tabs>
        <w:tab w:val="center" w:pos="4819"/>
        <w:tab w:val="right" w:pos="9639"/>
      </w:tabs>
      <w:spacing w:after="0" w:line="240" w:lineRule="auto"/>
    </w:pPr>
  </w:style>
  <w:style w:type="character" w:customStyle="1" w:styleId="af4">
    <w:name w:val="Нижний колонтитул Знак"/>
    <w:basedOn w:val="a0"/>
    <w:link w:val="af3"/>
    <w:uiPriority w:val="99"/>
    <w:rPr>
      <w:rFonts w:ascii="Calibri" w:eastAsia="Calibri" w:hAnsi="Calibri" w:cs="Calibri"/>
      <w:lang w:eastAsia="ru-RU"/>
    </w:rPr>
  </w:style>
  <w:style w:type="paragraph" w:styleId="af5">
    <w:name w:val="List Paragraph"/>
    <w:aliases w:val="Numbered List,Список уровня 2,Bullet Number,Bullet 1,Use Case List Paragraph,lp1,lp11,List Paragraph11,List Paragraph (numbered (a))"/>
    <w:basedOn w:val="a"/>
    <w:link w:val="af6"/>
    <w:uiPriority w:val="99"/>
    <w:qFormat/>
    <w:pPr>
      <w:spacing w:after="200" w:line="276" w:lineRule="auto"/>
      <w:ind w:left="720"/>
      <w:contextualSpacing/>
    </w:pPr>
    <w:rPr>
      <w:rFonts w:cs="Times New Roman"/>
      <w:lang w:val="ru-RU" w:eastAsia="en-US"/>
    </w:rPr>
  </w:style>
  <w:style w:type="character" w:customStyle="1" w:styleId="af6">
    <w:name w:val="Абзац списка Знак"/>
    <w:aliases w:val="Numbered List Знак,Список уровня 2 Знак,Bullet Number Знак,Bullet 1 Знак,Use Case List Paragraph Знак,lp1 Знак,lp11 Знак,List Paragraph11 Знак,List Paragraph (numbered (a)) Знак"/>
    <w:link w:val="af5"/>
    <w:uiPriority w:val="99"/>
    <w:locked/>
    <w:rPr>
      <w:rFonts w:ascii="Calibri" w:eastAsia="Calibri" w:hAnsi="Calibri" w:cs="Times New Roman"/>
      <w:lang w:val="ru-RU"/>
    </w:rPr>
  </w:style>
  <w:style w:type="paragraph" w:styleId="21">
    <w:name w:val="Body Text 2"/>
    <w:basedOn w:val="a"/>
    <w:link w:val="22"/>
    <w:uiPriority w:val="99"/>
    <w:unhideWhenUsed/>
    <w:pPr>
      <w:spacing w:after="120" w:line="480" w:lineRule="auto"/>
    </w:pPr>
    <w:rPr>
      <w:rFonts w:ascii="Times New Roman" w:eastAsia="Times New Roman" w:hAnsi="Times New Roman" w:cs="Times New Roman"/>
      <w:sz w:val="24"/>
      <w:szCs w:val="24"/>
      <w:lang w:eastAsia="uk-UA"/>
    </w:rPr>
  </w:style>
  <w:style w:type="character" w:customStyle="1" w:styleId="22">
    <w:name w:val="Основной текст 2 Знак"/>
    <w:basedOn w:val="a0"/>
    <w:link w:val="21"/>
    <w:uiPriority w:val="99"/>
    <w:rPr>
      <w:rFonts w:ascii="Times New Roman" w:eastAsia="Times New Roman" w:hAnsi="Times New Roman" w:cs="Times New Roman"/>
      <w:sz w:val="24"/>
      <w:szCs w:val="24"/>
      <w:lang w:eastAsia="uk-UA"/>
    </w:rPr>
  </w:style>
  <w:style w:type="character" w:styleId="af7">
    <w:name w:val="FollowedHyperlink"/>
    <w:basedOn w:val="a0"/>
    <w:uiPriority w:val="99"/>
    <w:semiHidden/>
    <w:unhideWhenUsed/>
    <w:rPr>
      <w:color w:val="800080"/>
      <w:u w:val="single"/>
    </w:rPr>
  </w:style>
  <w:style w:type="paragraph" w:customStyle="1" w:styleId="font5">
    <w:name w:val="font5"/>
    <w:basedOn w:val="a"/>
    <w:pPr>
      <w:spacing w:before="100" w:beforeAutospacing="1" w:after="100" w:afterAutospacing="1" w:line="240" w:lineRule="auto"/>
    </w:pPr>
    <w:rPr>
      <w:rFonts w:ascii="Arial CYR" w:eastAsia="Times New Roman" w:hAnsi="Arial CYR" w:cs="Arial CYR"/>
      <w:i/>
      <w:iCs/>
      <w:color w:val="000000"/>
      <w:sz w:val="20"/>
      <w:szCs w:val="20"/>
      <w:lang w:val="ru-RU"/>
    </w:rPr>
  </w:style>
  <w:style w:type="paragraph" w:customStyle="1" w:styleId="xl63">
    <w:name w:val="xl63"/>
    <w:basedOn w:val="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5">
    <w:name w:val="xl65"/>
    <w:basedOn w:val="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66">
    <w:name w:val="xl66"/>
    <w:basedOn w:val="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8">
    <w:name w:val="xl68"/>
    <w:basedOn w:val="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uk-UA"/>
    </w:rPr>
  </w:style>
  <w:style w:type="paragraph" w:customStyle="1" w:styleId="xl69">
    <w:name w:val="xl6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uk-UA"/>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uk-UA"/>
    </w:rPr>
  </w:style>
  <w:style w:type="paragraph" w:customStyle="1" w:styleId="xl74">
    <w:name w:val="xl74"/>
    <w:basedOn w:val="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5">
    <w:name w:val="xl75"/>
    <w:basedOn w:val="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6">
    <w:name w:val="xl76"/>
    <w:basedOn w:val="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7">
    <w:name w:val="xl77"/>
    <w:basedOn w:val="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8">
    <w:name w:val="xl78"/>
    <w:basedOn w:val="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9">
    <w:name w:val="xl79"/>
    <w:basedOn w:val="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80">
    <w:name w:val="xl80"/>
    <w:basedOn w:val="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uk-UA"/>
    </w:rPr>
  </w:style>
  <w:style w:type="paragraph" w:customStyle="1" w:styleId="xl81">
    <w:name w:val="xl81"/>
    <w:basedOn w:val="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uk-UA"/>
    </w:rPr>
  </w:style>
  <w:style w:type="paragraph" w:customStyle="1" w:styleId="xl82">
    <w:name w:val="xl82"/>
    <w:basedOn w:val="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uk-UA"/>
    </w:rPr>
  </w:style>
  <w:style w:type="paragraph" w:customStyle="1" w:styleId="xl83">
    <w:name w:val="xl83"/>
    <w:basedOn w:val="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uk-UA"/>
    </w:rPr>
  </w:style>
  <w:style w:type="paragraph" w:customStyle="1" w:styleId="xl84">
    <w:name w:val="xl84"/>
    <w:basedOn w:val="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uk-UA"/>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88">
    <w:name w:val="xl88"/>
    <w:basedOn w:val="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lang w:eastAsia="ru-RU"/>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libri" w:eastAsia="Calibri" w:hAnsi="Calibri" w:cs="Calibri"/>
      <w:b/>
      <w:sz w:val="48"/>
      <w:szCs w:val="48"/>
      <w:lang w:eastAsia="ru-RU"/>
    </w:rPr>
  </w:style>
  <w:style w:type="character" w:customStyle="1" w:styleId="20">
    <w:name w:val="Заголовок 2 Знак"/>
    <w:basedOn w:val="a0"/>
    <w:link w:val="2"/>
    <w:uiPriority w:val="9"/>
    <w:semiHidden/>
    <w:rPr>
      <w:rFonts w:ascii="Calibri" w:eastAsia="Calibri" w:hAnsi="Calibri" w:cs="Calibri"/>
      <w:b/>
      <w:sz w:val="36"/>
      <w:szCs w:val="36"/>
      <w:lang w:eastAsia="ru-RU"/>
    </w:rPr>
  </w:style>
  <w:style w:type="character" w:customStyle="1" w:styleId="30">
    <w:name w:val="Заголовок 3 Знак"/>
    <w:basedOn w:val="a0"/>
    <w:link w:val="3"/>
    <w:uiPriority w:val="9"/>
    <w:semiHidden/>
    <w:rPr>
      <w:rFonts w:ascii="Calibri" w:eastAsia="Calibri" w:hAnsi="Calibri" w:cs="Calibri"/>
      <w:b/>
      <w:sz w:val="28"/>
      <w:szCs w:val="28"/>
      <w:lang w:eastAsia="ru-RU"/>
    </w:rPr>
  </w:style>
  <w:style w:type="character" w:customStyle="1" w:styleId="40">
    <w:name w:val="Заголовок 4 Знак"/>
    <w:basedOn w:val="a0"/>
    <w:link w:val="4"/>
    <w:uiPriority w:val="9"/>
    <w:semiHidden/>
    <w:rPr>
      <w:rFonts w:ascii="Calibri" w:eastAsia="Calibri" w:hAnsi="Calibri" w:cs="Calibri"/>
      <w:b/>
      <w:sz w:val="24"/>
      <w:szCs w:val="24"/>
      <w:lang w:eastAsia="ru-RU"/>
    </w:rPr>
  </w:style>
  <w:style w:type="character" w:customStyle="1" w:styleId="50">
    <w:name w:val="Заголовок 5 Знак"/>
    <w:basedOn w:val="a0"/>
    <w:link w:val="5"/>
    <w:uiPriority w:val="9"/>
    <w:semiHidden/>
    <w:rPr>
      <w:rFonts w:ascii="Calibri" w:eastAsia="Calibri" w:hAnsi="Calibri" w:cs="Calibri"/>
      <w:b/>
      <w:lang w:eastAsia="ru-RU"/>
    </w:rPr>
  </w:style>
  <w:style w:type="character" w:customStyle="1" w:styleId="60">
    <w:name w:val="Заголовок 6 Знак"/>
    <w:basedOn w:val="a0"/>
    <w:link w:val="6"/>
    <w:uiPriority w:val="9"/>
    <w:semiHidden/>
    <w:rPr>
      <w:rFonts w:ascii="Calibri" w:eastAsia="Calibri" w:hAnsi="Calibri" w:cs="Calibri"/>
      <w:b/>
      <w:sz w:val="20"/>
      <w:szCs w:val="20"/>
      <w:lang w:eastAsia="ru-RU"/>
    </w:rPr>
  </w:style>
  <w:style w:type="table" w:customStyle="1" w:styleId="NormalTable0">
    <w:name w:val="Normal Table0"/>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character" w:customStyle="1" w:styleId="a4">
    <w:name w:val="Название Знак"/>
    <w:basedOn w:val="a0"/>
    <w:link w:val="a3"/>
    <w:uiPriority w:val="10"/>
    <w:rPr>
      <w:rFonts w:ascii="Calibri" w:eastAsia="Calibri" w:hAnsi="Calibri" w:cs="Calibri"/>
      <w:b/>
      <w:sz w:val="72"/>
      <w:szCs w:val="72"/>
      <w:lang w:eastAsia="ru-RU"/>
    </w:rPr>
  </w:style>
  <w:style w:type="table" w:customStyle="1" w:styleId="TableNormal">
    <w:name w:val="Table Normal"/>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table" w:customStyle="1" w:styleId="TableNormal0">
    <w:name w:val="Table Normal0"/>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5">
    <w:name w:val="Subtitle"/>
    <w:basedOn w:val="a"/>
    <w:next w:val="a"/>
    <w:link w:val="a6"/>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Pr>
      <w:rFonts w:ascii="Georgia" w:eastAsia="Georgia" w:hAnsi="Georgia" w:cs="Georgia"/>
      <w:i/>
      <w:color w:val="666666"/>
      <w:sz w:val="48"/>
      <w:szCs w:val="48"/>
      <w:lang w:eastAsia="ru-RU"/>
    </w:rPr>
  </w:style>
  <w:style w:type="character" w:styleId="a7">
    <w:name w:val="Hyperlink"/>
    <w:basedOn w:val="a0"/>
    <w:uiPriority w:val="99"/>
    <w:semiHidden/>
    <w:unhideWhenUsed/>
    <w:rPr>
      <w:color w:val="0000FF"/>
      <w:u w:val="single"/>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8">
    <w:name w:val="Table Grid"/>
    <w:basedOn w:val="a1"/>
    <w:uiPriority w:val="39"/>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Pr>
      <w:sz w:val="16"/>
      <w:szCs w:val="16"/>
    </w:r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rFonts w:ascii="Calibri" w:eastAsia="Calibri" w:hAnsi="Calibri" w:cs="Calibri"/>
      <w:sz w:val="20"/>
      <w:szCs w:val="20"/>
      <w:lang w:eastAsia="ru-RU"/>
    </w:rPr>
  </w:style>
  <w:style w:type="paragraph" w:styleId="ac">
    <w:name w:val="annotation subject"/>
    <w:basedOn w:val="aa"/>
    <w:next w:val="aa"/>
    <w:link w:val="ad"/>
    <w:uiPriority w:val="99"/>
    <w:semiHidden/>
    <w:unhideWhenUsed/>
    <w:rPr>
      <w:b/>
      <w:bCs/>
    </w:rPr>
  </w:style>
  <w:style w:type="character" w:customStyle="1" w:styleId="ad">
    <w:name w:val="Тема примечания Знак"/>
    <w:basedOn w:val="ab"/>
    <w:link w:val="ac"/>
    <w:uiPriority w:val="99"/>
    <w:semiHidden/>
    <w:rPr>
      <w:rFonts w:ascii="Calibri" w:eastAsia="Calibri" w:hAnsi="Calibri" w:cs="Calibri"/>
      <w:b/>
      <w:bCs/>
      <w:sz w:val="20"/>
      <w:szCs w:val="20"/>
      <w:lang w:eastAsia="ru-RU"/>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Pr>
      <w:rFonts w:ascii="Segoe UI" w:eastAsia="Calibri" w:hAnsi="Segoe UI" w:cs="Segoe UI"/>
      <w:sz w:val="18"/>
      <w:szCs w:val="18"/>
      <w:lang w:eastAsia="ru-RU"/>
    </w:rPr>
  </w:style>
  <w:style w:type="character" w:customStyle="1" w:styleId="11">
    <w:name w:val="Обычный (веб) Знак1"/>
    <w:aliases w:val="Обычный (веб) Знак Знак"/>
    <w:link w:val="af0"/>
    <w:uiPriority w:val="99"/>
    <w:semiHidden/>
    <w:locked/>
    <w:rPr>
      <w:rFonts w:ascii="Times New Roman" w:eastAsia="Times New Roman" w:hAnsi="Times New Roman" w:cs="Times New Roman"/>
      <w:sz w:val="24"/>
      <w:szCs w:val="24"/>
      <w:lang w:val="x-none"/>
    </w:rPr>
  </w:style>
  <w:style w:type="paragraph" w:styleId="af0">
    <w:name w:val="Normal (Web)"/>
    <w:aliases w:val="Обычный (веб) Знак"/>
    <w:basedOn w:val="a"/>
    <w:link w:val="11"/>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x-none" w:eastAsia="en-US"/>
    </w:rPr>
  </w:style>
  <w:style w:type="paragraph" w:styleId="af1">
    <w:name w:val="header"/>
    <w:basedOn w:val="a"/>
    <w:link w:val="af2"/>
    <w:uiPriority w:val="99"/>
    <w:unhideWhenUsed/>
    <w:pPr>
      <w:tabs>
        <w:tab w:val="center" w:pos="4819"/>
        <w:tab w:val="right" w:pos="9639"/>
      </w:tabs>
      <w:spacing w:after="0" w:line="240" w:lineRule="auto"/>
    </w:pPr>
  </w:style>
  <w:style w:type="character" w:customStyle="1" w:styleId="af2">
    <w:name w:val="Верхний колонтитул Знак"/>
    <w:basedOn w:val="a0"/>
    <w:link w:val="af1"/>
    <w:uiPriority w:val="99"/>
    <w:rPr>
      <w:rFonts w:ascii="Calibri" w:eastAsia="Calibri" w:hAnsi="Calibri" w:cs="Calibri"/>
      <w:lang w:eastAsia="ru-RU"/>
    </w:rPr>
  </w:style>
  <w:style w:type="paragraph" w:styleId="af3">
    <w:name w:val="footer"/>
    <w:basedOn w:val="a"/>
    <w:link w:val="af4"/>
    <w:uiPriority w:val="99"/>
    <w:unhideWhenUsed/>
    <w:pPr>
      <w:tabs>
        <w:tab w:val="center" w:pos="4819"/>
        <w:tab w:val="right" w:pos="9639"/>
      </w:tabs>
      <w:spacing w:after="0" w:line="240" w:lineRule="auto"/>
    </w:pPr>
  </w:style>
  <w:style w:type="character" w:customStyle="1" w:styleId="af4">
    <w:name w:val="Нижний колонтитул Знак"/>
    <w:basedOn w:val="a0"/>
    <w:link w:val="af3"/>
    <w:uiPriority w:val="99"/>
    <w:rPr>
      <w:rFonts w:ascii="Calibri" w:eastAsia="Calibri" w:hAnsi="Calibri" w:cs="Calibri"/>
      <w:lang w:eastAsia="ru-RU"/>
    </w:rPr>
  </w:style>
  <w:style w:type="paragraph" w:styleId="af5">
    <w:name w:val="List Paragraph"/>
    <w:aliases w:val="Numbered List,Список уровня 2,Bullet Number,Bullet 1,Use Case List Paragraph,lp1,lp11,List Paragraph11,List Paragraph (numbered (a))"/>
    <w:basedOn w:val="a"/>
    <w:link w:val="af6"/>
    <w:uiPriority w:val="99"/>
    <w:qFormat/>
    <w:pPr>
      <w:spacing w:after="200" w:line="276" w:lineRule="auto"/>
      <w:ind w:left="720"/>
      <w:contextualSpacing/>
    </w:pPr>
    <w:rPr>
      <w:rFonts w:cs="Times New Roman"/>
      <w:lang w:val="ru-RU" w:eastAsia="en-US"/>
    </w:rPr>
  </w:style>
  <w:style w:type="character" w:customStyle="1" w:styleId="af6">
    <w:name w:val="Абзац списка Знак"/>
    <w:aliases w:val="Numbered List Знак,Список уровня 2 Знак,Bullet Number Знак,Bullet 1 Знак,Use Case List Paragraph Знак,lp1 Знак,lp11 Знак,List Paragraph11 Знак,List Paragraph (numbered (a)) Знак"/>
    <w:link w:val="af5"/>
    <w:uiPriority w:val="99"/>
    <w:locked/>
    <w:rPr>
      <w:rFonts w:ascii="Calibri" w:eastAsia="Calibri" w:hAnsi="Calibri" w:cs="Times New Roman"/>
      <w:lang w:val="ru-RU"/>
    </w:rPr>
  </w:style>
  <w:style w:type="paragraph" w:styleId="21">
    <w:name w:val="Body Text 2"/>
    <w:basedOn w:val="a"/>
    <w:link w:val="22"/>
    <w:uiPriority w:val="99"/>
    <w:unhideWhenUsed/>
    <w:pPr>
      <w:spacing w:after="120" w:line="480" w:lineRule="auto"/>
    </w:pPr>
    <w:rPr>
      <w:rFonts w:ascii="Times New Roman" w:eastAsia="Times New Roman" w:hAnsi="Times New Roman" w:cs="Times New Roman"/>
      <w:sz w:val="24"/>
      <w:szCs w:val="24"/>
      <w:lang w:eastAsia="uk-UA"/>
    </w:rPr>
  </w:style>
  <w:style w:type="character" w:customStyle="1" w:styleId="22">
    <w:name w:val="Основной текст 2 Знак"/>
    <w:basedOn w:val="a0"/>
    <w:link w:val="21"/>
    <w:uiPriority w:val="99"/>
    <w:rPr>
      <w:rFonts w:ascii="Times New Roman" w:eastAsia="Times New Roman" w:hAnsi="Times New Roman" w:cs="Times New Roman"/>
      <w:sz w:val="24"/>
      <w:szCs w:val="24"/>
      <w:lang w:eastAsia="uk-UA"/>
    </w:rPr>
  </w:style>
  <w:style w:type="character" w:styleId="af7">
    <w:name w:val="FollowedHyperlink"/>
    <w:basedOn w:val="a0"/>
    <w:uiPriority w:val="99"/>
    <w:semiHidden/>
    <w:unhideWhenUsed/>
    <w:rPr>
      <w:color w:val="800080"/>
      <w:u w:val="single"/>
    </w:rPr>
  </w:style>
  <w:style w:type="paragraph" w:customStyle="1" w:styleId="font5">
    <w:name w:val="font5"/>
    <w:basedOn w:val="a"/>
    <w:pPr>
      <w:spacing w:before="100" w:beforeAutospacing="1" w:after="100" w:afterAutospacing="1" w:line="240" w:lineRule="auto"/>
    </w:pPr>
    <w:rPr>
      <w:rFonts w:ascii="Arial CYR" w:eastAsia="Times New Roman" w:hAnsi="Arial CYR" w:cs="Arial CYR"/>
      <w:i/>
      <w:iCs/>
      <w:color w:val="000000"/>
      <w:sz w:val="20"/>
      <w:szCs w:val="20"/>
      <w:lang w:val="ru-RU"/>
    </w:rPr>
  </w:style>
  <w:style w:type="paragraph" w:customStyle="1" w:styleId="xl63">
    <w:name w:val="xl63"/>
    <w:basedOn w:val="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5">
    <w:name w:val="xl65"/>
    <w:basedOn w:val="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66">
    <w:name w:val="xl66"/>
    <w:basedOn w:val="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8">
    <w:name w:val="xl68"/>
    <w:basedOn w:val="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uk-UA"/>
    </w:rPr>
  </w:style>
  <w:style w:type="paragraph" w:customStyle="1" w:styleId="xl69">
    <w:name w:val="xl69"/>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uk-UA"/>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uk-UA"/>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uk-UA"/>
    </w:rPr>
  </w:style>
  <w:style w:type="paragraph" w:customStyle="1" w:styleId="xl74">
    <w:name w:val="xl74"/>
    <w:basedOn w:val="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5">
    <w:name w:val="xl75"/>
    <w:basedOn w:val="a"/>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6">
    <w:name w:val="xl76"/>
    <w:basedOn w:val="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7">
    <w:name w:val="xl77"/>
    <w:basedOn w:val="a"/>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8">
    <w:name w:val="xl78"/>
    <w:basedOn w:val="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79">
    <w:name w:val="xl79"/>
    <w:basedOn w:val="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80">
    <w:name w:val="xl80"/>
    <w:basedOn w:val="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uk-UA"/>
    </w:rPr>
  </w:style>
  <w:style w:type="paragraph" w:customStyle="1" w:styleId="xl81">
    <w:name w:val="xl81"/>
    <w:basedOn w:val="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uk-UA"/>
    </w:rPr>
  </w:style>
  <w:style w:type="paragraph" w:customStyle="1" w:styleId="xl82">
    <w:name w:val="xl82"/>
    <w:basedOn w:val="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uk-UA"/>
    </w:rPr>
  </w:style>
  <w:style w:type="paragraph" w:customStyle="1" w:styleId="xl83">
    <w:name w:val="xl83"/>
    <w:basedOn w:val="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uk-UA"/>
    </w:rPr>
  </w:style>
  <w:style w:type="paragraph" w:customStyle="1" w:styleId="xl84">
    <w:name w:val="xl84"/>
    <w:basedOn w:val="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uk-UA"/>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uk-UA"/>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88">
    <w:name w:val="xl88"/>
    <w:basedOn w:val="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42373</Words>
  <Characters>24154</Characters>
  <Application>Microsoft Office Word</Application>
  <DocSecurity>0</DocSecurity>
  <Lines>201</Lines>
  <Paragraphs>132</Paragraphs>
  <ScaleCrop>false</ScaleCrop>
  <Company/>
  <LinksUpToDate>false</LinksUpToDate>
  <CharactersWithSpaces>66395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2023-10-19T12:21:00Z</dcterms:created>
  <dcterms:modified xsi:type="dcterms:W3CDTF">2023-10-19T12:25:00Z</dcterms:modified>
</cp:coreProperties>
</file>