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E55580">
        <w:rPr>
          <w:rFonts w:ascii="Times New Roman" w:eastAsia="Times New Roman" w:hAnsi="Times New Roman" w:cs="Tahoma"/>
          <w:color w:val="000000"/>
          <w:kern w:val="1"/>
          <w:sz w:val="24"/>
          <w:szCs w:val="24"/>
          <w:lang w:val="uk-UA" w:eastAsia="zh-CN" w:bidi="hi-IN"/>
        </w:rPr>
        <w:t>В</w:t>
      </w:r>
      <w:r w:rsidR="001C5C16" w:rsidRPr="00E55580">
        <w:rPr>
          <w:rFonts w:ascii="Times New Roman" w:eastAsia="Times New Roman" w:hAnsi="Times New Roman" w:cs="Tahoma"/>
          <w:color w:val="000000"/>
          <w:kern w:val="1"/>
          <w:sz w:val="24"/>
          <w:szCs w:val="24"/>
          <w:lang w:val="uk-UA" w:eastAsia="zh-CN" w:bidi="hi-IN"/>
        </w:rPr>
        <w:t>ід</w:t>
      </w:r>
      <w:r w:rsidRPr="00E55580">
        <w:rPr>
          <w:rFonts w:ascii="Times New Roman" w:eastAsia="Times New Roman" w:hAnsi="Times New Roman" w:cs="Tahoma"/>
          <w:color w:val="000000"/>
          <w:kern w:val="1"/>
          <w:sz w:val="24"/>
          <w:szCs w:val="24"/>
          <w:lang w:val="uk-UA" w:eastAsia="zh-CN" w:bidi="hi-IN"/>
        </w:rPr>
        <w:t xml:space="preserve"> </w:t>
      </w:r>
      <w:r w:rsidR="00E55580" w:rsidRPr="00E55580">
        <w:rPr>
          <w:rFonts w:ascii="Times New Roman" w:eastAsia="Times New Roman" w:hAnsi="Times New Roman" w:cs="Tahoma"/>
          <w:color w:val="000000"/>
          <w:kern w:val="1"/>
          <w:sz w:val="24"/>
          <w:szCs w:val="24"/>
          <w:lang w:val="uk-UA" w:eastAsia="zh-CN" w:bidi="hi-IN"/>
        </w:rPr>
        <w:t>29</w:t>
      </w:r>
      <w:r w:rsidR="007019CE" w:rsidRPr="00E55580">
        <w:rPr>
          <w:rFonts w:ascii="Times New Roman" w:eastAsia="Times New Roman" w:hAnsi="Times New Roman" w:cs="Tahoma"/>
          <w:color w:val="000000"/>
          <w:kern w:val="1"/>
          <w:sz w:val="24"/>
          <w:szCs w:val="24"/>
          <w:lang w:val="uk-UA" w:eastAsia="zh-CN" w:bidi="hi-IN"/>
        </w:rPr>
        <w:t>.</w:t>
      </w:r>
      <w:r w:rsidR="00E55580" w:rsidRPr="00E55580">
        <w:rPr>
          <w:rFonts w:ascii="Times New Roman" w:eastAsia="Times New Roman" w:hAnsi="Times New Roman" w:cs="Tahoma"/>
          <w:color w:val="000000"/>
          <w:kern w:val="1"/>
          <w:sz w:val="24"/>
          <w:szCs w:val="24"/>
          <w:lang w:val="uk-UA" w:eastAsia="zh-CN" w:bidi="hi-IN"/>
        </w:rPr>
        <w:t>03</w:t>
      </w:r>
      <w:r w:rsidR="009B334E" w:rsidRPr="00E55580">
        <w:rPr>
          <w:rFonts w:ascii="Times New Roman" w:eastAsia="Times New Roman" w:hAnsi="Times New Roman" w:cs="Tahoma"/>
          <w:color w:val="000000"/>
          <w:kern w:val="1"/>
          <w:sz w:val="24"/>
          <w:szCs w:val="24"/>
          <w:lang w:val="uk-UA" w:eastAsia="zh-CN" w:bidi="hi-IN"/>
        </w:rPr>
        <w:t>.202</w:t>
      </w:r>
      <w:r w:rsidR="00E55580" w:rsidRPr="00E55580">
        <w:rPr>
          <w:rFonts w:ascii="Times New Roman" w:eastAsia="Times New Roman" w:hAnsi="Times New Roman" w:cs="Tahoma"/>
          <w:color w:val="000000"/>
          <w:kern w:val="1"/>
          <w:sz w:val="24"/>
          <w:szCs w:val="24"/>
          <w:lang w:val="uk-UA" w:eastAsia="zh-CN" w:bidi="hi-IN"/>
        </w:rPr>
        <w:t>4</w:t>
      </w:r>
      <w:r w:rsidR="00956F7F" w:rsidRPr="00E55580">
        <w:rPr>
          <w:rFonts w:ascii="Times New Roman" w:eastAsia="Times New Roman" w:hAnsi="Times New Roman" w:cs="Tahoma"/>
          <w:color w:val="000000"/>
          <w:kern w:val="1"/>
          <w:sz w:val="24"/>
          <w:szCs w:val="24"/>
          <w:lang w:val="uk-UA" w:eastAsia="zh-CN" w:bidi="hi-IN"/>
        </w:rPr>
        <w:t xml:space="preserve"> № </w:t>
      </w:r>
      <w:r w:rsidR="00E55580">
        <w:rPr>
          <w:rFonts w:ascii="Times New Roman" w:eastAsia="Times New Roman" w:hAnsi="Times New Roman" w:cs="Tahoma"/>
          <w:color w:val="000000"/>
          <w:kern w:val="1"/>
          <w:sz w:val="24"/>
          <w:szCs w:val="24"/>
          <w:lang w:val="uk-UA" w:eastAsia="zh-CN" w:bidi="hi-IN"/>
        </w:rPr>
        <w:t>48</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0266B9">
        <w:rPr>
          <w:rFonts w:ascii="Times New Roman" w:hAnsi="Times New Roman"/>
          <w:b/>
          <w:sz w:val="32"/>
          <w:szCs w:val="32"/>
          <w:lang w:val="uk-UA"/>
        </w:rPr>
        <w:t>60180000-3 Прокат вантажних транспортних засобів для перевезення товарів</w:t>
      </w:r>
    </w:p>
    <w:p w:rsidR="009A751F" w:rsidRPr="009A751F" w:rsidRDefault="00CC6EA6"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w:t>
      </w:r>
      <w:r w:rsidR="000266B9">
        <w:rPr>
          <w:rFonts w:ascii="Times New Roman" w:hAnsi="Times New Roman"/>
          <w:b/>
          <w:bCs/>
          <w:sz w:val="36"/>
          <w:szCs w:val="36"/>
          <w:lang w:val="uk-UA"/>
        </w:rPr>
        <w:t xml:space="preserve">Послуги вантажного транспорту для перевезення різних вантажів для потреб </w:t>
      </w:r>
      <w:r w:rsidR="006E489D">
        <w:rPr>
          <w:rFonts w:ascii="Times New Roman" w:hAnsi="Times New Roman"/>
          <w:b/>
          <w:bCs/>
          <w:sz w:val="36"/>
          <w:szCs w:val="36"/>
          <w:lang w:val="uk-UA"/>
        </w:rPr>
        <w:t>Державного підприємства «Підприємство державної кримінально – виконавчої служби України (№98)»</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537068" w:rsidRPr="00200681" w:rsidRDefault="006E489D" w:rsidP="006E489D">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E4346">
        <w:rPr>
          <w:rFonts w:ascii="Times New Roman" w:eastAsia="Times New Roman" w:hAnsi="Times New Roman"/>
          <w:b/>
          <w:sz w:val="28"/>
          <w:szCs w:val="20"/>
          <w:lang w:val="uk-UA" w:eastAsia="ru-RU"/>
        </w:rPr>
        <w:t>4</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00483910">
              <w:rPr>
                <w:rStyle w:val="211"/>
                <w:b/>
              </w:rPr>
              <w:t xml:space="preserve"> </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B46DF1" w:rsidRPr="000B1A14" w:rsidRDefault="0091705A" w:rsidP="0091705A">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Послуги вантажного транспорту для перевезення різних вантажів для потреб підприємства</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w:t>
            </w:r>
            <w:r w:rsidR="0091705A">
              <w:rPr>
                <w:rFonts w:ascii="Times New Roman" w:eastAsia="Times New Roman" w:hAnsi="Times New Roman"/>
                <w:sz w:val="24"/>
                <w:szCs w:val="24"/>
                <w:lang w:val="uk-UA" w:eastAsia="ru-RU"/>
              </w:rPr>
              <w:t xml:space="preserve">(робіт, послуг) </w:t>
            </w:r>
            <w:r w:rsidRPr="006B6135">
              <w:rPr>
                <w:rFonts w:ascii="Times New Roman" w:eastAsia="Times New Roman" w:hAnsi="Times New Roman"/>
                <w:sz w:val="24"/>
                <w:szCs w:val="24"/>
                <w:lang w:val="uk-UA" w:eastAsia="ru-RU"/>
              </w:rPr>
              <w:t xml:space="preserve"> та місце його поставки</w:t>
            </w:r>
          </w:p>
        </w:tc>
        <w:tc>
          <w:tcPr>
            <w:tcW w:w="3195" w:type="pct"/>
            <w:shd w:val="clear" w:color="auto" w:fill="FFFFFF"/>
            <w:hideMark/>
          </w:tcPr>
          <w:p w:rsidR="00196B86" w:rsidRPr="00196B86" w:rsidRDefault="00B46DF1" w:rsidP="00196B86">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sidR="00196B86">
              <w:rPr>
                <w:rFonts w:ascii="Times New Roman" w:hAnsi="Times New Roman"/>
                <w:sz w:val="24"/>
                <w:szCs w:val="24"/>
                <w:lang w:val="uk-UA"/>
              </w:rPr>
              <w:t>вичі</w:t>
            </w:r>
            <w:proofErr w:type="spellEnd"/>
          </w:p>
          <w:p w:rsidR="002B2F0F" w:rsidRDefault="002B2F0F" w:rsidP="002B2F0F">
            <w:pPr>
              <w:pStyle w:val="a4"/>
              <w:spacing w:before="150" w:after="150" w:line="240" w:lineRule="auto"/>
              <w:rPr>
                <w:rFonts w:ascii="Times New Roman" w:eastAsia="Times New Roman" w:hAnsi="Times New Roman"/>
                <w:sz w:val="24"/>
                <w:szCs w:val="24"/>
                <w:lang w:val="uk-UA"/>
              </w:rPr>
            </w:pPr>
          </w:p>
          <w:p w:rsidR="00B46DF1" w:rsidRPr="009A751F" w:rsidRDefault="0091705A" w:rsidP="0091705A">
            <w:pPr>
              <w:pStyle w:val="a4"/>
              <w:jc w:val="both"/>
              <w:rPr>
                <w:rFonts w:ascii="Times New Roman" w:hAnsi="Times New Roman"/>
                <w:sz w:val="24"/>
                <w:szCs w:val="24"/>
                <w:lang w:val="uk-UA"/>
              </w:rPr>
            </w:pPr>
            <w:r>
              <w:rPr>
                <w:rFonts w:ascii="Times New Roman" w:hAnsi="Times New Roman"/>
                <w:sz w:val="24"/>
                <w:szCs w:val="24"/>
                <w:lang w:val="uk-UA"/>
              </w:rPr>
              <w:t xml:space="preserve"> послуги</w:t>
            </w:r>
            <w:r>
              <w:rPr>
                <w:rFonts w:ascii="Times New Roman" w:eastAsia="Times New Roman" w:hAnsi="Times New Roman"/>
                <w:b/>
                <w:sz w:val="24"/>
                <w:szCs w:val="24"/>
                <w:lang w:val="uk-UA" w:eastAsia="ru-RU"/>
              </w:rPr>
              <w:t xml:space="preserve"> </w:t>
            </w:r>
            <w:r w:rsidRPr="0091705A">
              <w:rPr>
                <w:rFonts w:ascii="Times New Roman" w:eastAsia="Times New Roman" w:hAnsi="Times New Roman"/>
                <w:sz w:val="24"/>
                <w:szCs w:val="24"/>
                <w:lang w:val="uk-UA" w:eastAsia="ru-RU"/>
              </w:rPr>
              <w:t>вантажного транспорту для перевезення різних вантажів для потреб підприємства</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1E4346">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Pr="00B852C5">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1E4346">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документи, які підтверджують повноваження особи на </w:t>
            </w:r>
            <w:r w:rsidRPr="00362671">
              <w:rPr>
                <w:rFonts w:ascii="Times New Roman" w:eastAsia="Times New Roman" w:hAnsi="Times New Roman"/>
                <w:sz w:val="24"/>
                <w:szCs w:val="24"/>
                <w:lang w:val="uk-UA" w:eastAsia="ru-RU"/>
              </w:rPr>
              <w:lastRenderedPageBreak/>
              <w:t>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E94849">
              <w:rPr>
                <w:rFonts w:ascii="Times New Roman" w:eastAsia="Times New Roman" w:hAnsi="Times New Roman"/>
                <w:sz w:val="24"/>
                <w:szCs w:val="24"/>
                <w:lang w:val="uk-UA" w:eastAsia="ru-RU"/>
              </w:rPr>
              <w:lastRenderedPageBreak/>
              <w:t>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lastRenderedPageBreak/>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D40E71">
              <w:rPr>
                <w:rFonts w:ascii="Times New Roman" w:eastAsia="Times New Roman" w:hAnsi="Times New Roman"/>
                <w:sz w:val="24"/>
                <w:szCs w:val="24"/>
                <w:shd w:val="clear" w:color="auto" w:fill="FFFFFF"/>
                <w:lang w:val="uk-UA" w:eastAsia="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5317C3">
              <w:rPr>
                <w:rFonts w:ascii="Times New Roman" w:hAnsi="Times New Roman"/>
                <w:color w:val="000000"/>
                <w:sz w:val="24"/>
                <w:szCs w:val="24"/>
                <w:lang w:val="uk-UA"/>
              </w:rPr>
              <w:lastRenderedPageBreak/>
              <w:t>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lastRenderedPageBreak/>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w:t>
            </w:r>
            <w:r w:rsidRPr="00371046">
              <w:rPr>
                <w:rFonts w:ascii="Times New Roman" w:eastAsia="Times New Roman" w:hAnsi="Times New Roman"/>
                <w:color w:val="000000"/>
                <w:sz w:val="24"/>
                <w:szCs w:val="24"/>
                <w:lang w:val="uk-UA" w:eastAsia="uk-UA"/>
              </w:rPr>
              <w:lastRenderedPageBreak/>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8A7C05" w:rsidRPr="00371046" w:rsidRDefault="00371046" w:rsidP="008A7C05">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12. </w:t>
            </w:r>
            <w:r w:rsidR="008A7C05" w:rsidRPr="00371046">
              <w:rPr>
                <w:rFonts w:ascii="Times New Roman" w:eastAsia="Times New Roman" w:hAnsi="Times New Roman"/>
                <w:color w:val="000000"/>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7C05" w:rsidRPr="00371046" w:rsidRDefault="008A7C05" w:rsidP="008A7C05">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7C05" w:rsidRPr="00371046" w:rsidRDefault="008A7C05" w:rsidP="008A7C05">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7C05" w:rsidRPr="00371046" w:rsidRDefault="008A7C05" w:rsidP="008A7C05">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8A7C05" w:rsidRPr="00300301" w:rsidRDefault="008A7C05" w:rsidP="008A7C05">
            <w:pPr>
              <w:widowControl w:val="0"/>
              <w:spacing w:after="0" w:line="240" w:lineRule="auto"/>
              <w:jc w:val="both"/>
              <w:rPr>
                <w:rFonts w:ascii="Times New Roman" w:hAnsi="Times New Roman"/>
                <w:color w:val="323232"/>
                <w:sz w:val="24"/>
                <w:szCs w:val="24"/>
                <w:lang w:val="uk-UA"/>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w:t>
            </w:r>
            <w:r w:rsidRPr="00300301">
              <w:rPr>
                <w:rFonts w:ascii="Arial" w:hAnsi="Arial" w:cs="Arial"/>
                <w:color w:val="323232"/>
                <w:lang w:val="uk-UA"/>
              </w:rPr>
              <w:t xml:space="preserve"> </w:t>
            </w:r>
            <w:r w:rsidRPr="00300301">
              <w:rPr>
                <w:rFonts w:ascii="Times New Roman" w:hAnsi="Times New Roman"/>
                <w:color w:val="323232"/>
                <w:sz w:val="24"/>
                <w:szCs w:val="24"/>
                <w:lang w:val="uk-UA"/>
              </w:rPr>
              <w:t>походженням з Російської Федерації/Республіки Білорусь/</w:t>
            </w:r>
            <w:r w:rsidRPr="00300301">
              <w:rPr>
                <w:rStyle w:val="a6"/>
                <w:rFonts w:ascii="Times New Roman" w:hAnsi="Times New Roman"/>
                <w:color w:val="323232"/>
                <w:sz w:val="24"/>
                <w:szCs w:val="24"/>
                <w:lang w:val="uk-UA"/>
              </w:rPr>
              <w:t>Ісламської Республіки Іран</w:t>
            </w:r>
            <w:r w:rsidRPr="00300301">
              <w:rPr>
                <w:rFonts w:ascii="Times New Roman" w:hAnsi="Times New Roman"/>
                <w:color w:val="323232"/>
                <w:sz w:val="24"/>
                <w:szCs w:val="24"/>
                <w:lang w:val="uk-UA"/>
              </w:rPr>
              <w:t>, за винятком товарів</w:t>
            </w:r>
            <w:r w:rsidRPr="00300301">
              <w:rPr>
                <w:rFonts w:ascii="Times New Roman" w:hAnsi="Times New Roman"/>
                <w:color w:val="323232"/>
                <w:sz w:val="24"/>
                <w:szCs w:val="24"/>
              </w:rPr>
              <w:t> </w:t>
            </w:r>
            <w:r w:rsidRPr="00300301">
              <w:rPr>
                <w:rStyle w:val="a6"/>
                <w:rFonts w:ascii="Times New Roman" w:hAnsi="Times New Roman"/>
                <w:color w:val="323232"/>
                <w:sz w:val="24"/>
                <w:szCs w:val="24"/>
                <w:lang w:val="uk-UA"/>
              </w:rPr>
              <w:t>походженням</w:t>
            </w:r>
            <w:r w:rsidRPr="00300301">
              <w:rPr>
                <w:rFonts w:ascii="Times New Roman" w:hAnsi="Times New Roman"/>
                <w:color w:val="323232"/>
                <w:sz w:val="24"/>
                <w:szCs w:val="24"/>
              </w:rPr>
              <w:t> </w:t>
            </w:r>
            <w:r w:rsidRPr="00300301">
              <w:rPr>
                <w:rStyle w:val="a6"/>
                <w:rFonts w:ascii="Times New Roman" w:hAnsi="Times New Roman"/>
                <w:color w:val="323232"/>
                <w:sz w:val="24"/>
                <w:szCs w:val="24"/>
                <w:lang w:val="uk-UA"/>
              </w:rPr>
              <w:t>з Російської Федерації/Республіки Білорусь</w:t>
            </w:r>
            <w:r w:rsidRPr="00300301">
              <w:rPr>
                <w:rFonts w:ascii="Times New Roman" w:hAnsi="Times New Roman"/>
                <w:color w:val="323232"/>
                <w:sz w:val="24"/>
                <w:szCs w:val="24"/>
                <w:lang w:val="uk-UA"/>
              </w:rPr>
              <w:t>, необхідних для ремонту та обслуговування товарів, придбаних до набрання чинності цією постановою;</w:t>
            </w:r>
          </w:p>
          <w:p w:rsidR="00B46DF1" w:rsidRPr="00B413F2" w:rsidRDefault="008613B5" w:rsidP="008C1FF4">
            <w:pPr>
              <w:widowControl w:val="0"/>
              <w:spacing w:after="0" w:line="240" w:lineRule="auto"/>
              <w:jc w:val="both"/>
              <w:rPr>
                <w:rFonts w:ascii="Times New Roman" w:eastAsia="Times New Roman" w:hAnsi="Times New Roman"/>
                <w:sz w:val="24"/>
                <w:szCs w:val="24"/>
                <w:highlight w:val="yellow"/>
                <w:lang w:val="uk-UA" w:eastAsia="ru-RU"/>
              </w:rPr>
            </w:pPr>
            <w:r w:rsidRPr="00B75266">
              <w:rPr>
                <w:lang w:val="uk-UA"/>
              </w:rPr>
              <w:t xml:space="preserve"> </w:t>
            </w:r>
          </w:p>
        </w:tc>
      </w:tr>
      <w:tr w:rsidR="00B46DF1" w:rsidRPr="00E5558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0132E9" w:rsidRDefault="000132E9" w:rsidP="000132E9">
            <w:pPr>
              <w:spacing w:after="0" w:line="240" w:lineRule="auto"/>
              <w:ind w:firstLine="566"/>
              <w:jc w:val="both"/>
              <w:rPr>
                <w:rFonts w:ascii="Times New Roman" w:eastAsia="Times New Roman" w:hAnsi="Times New Roman"/>
                <w:color w:val="000000"/>
                <w:sz w:val="24"/>
                <w:szCs w:val="24"/>
                <w:lang w:val="uk-UA"/>
              </w:rPr>
            </w:pPr>
            <w:r w:rsidRPr="00300301">
              <w:rPr>
                <w:rFonts w:ascii="Times New Roman" w:hAnsi="Times New Roman"/>
                <w:color w:val="050505"/>
                <w:sz w:val="24"/>
                <w:szCs w:val="24"/>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00301">
              <w:rPr>
                <w:rFonts w:ascii="Times New Roman" w:hAnsi="Times New Roman"/>
                <w:color w:val="050505"/>
                <w:sz w:val="24"/>
                <w:szCs w:val="24"/>
                <w:shd w:val="clear" w:color="auto" w:fill="FFFFFF"/>
                <w:lang w:val="uk-UA"/>
              </w:rPr>
              <w:t>бенефіціарним</w:t>
            </w:r>
            <w:proofErr w:type="spellEnd"/>
            <w:r w:rsidRPr="00300301">
              <w:rPr>
                <w:rFonts w:ascii="Times New Roman" w:hAnsi="Times New Roman"/>
                <w:color w:val="050505"/>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300301">
              <w:rPr>
                <w:rFonts w:ascii="Times New Roman" w:hAnsi="Times New Roman"/>
                <w:color w:val="050505"/>
                <w:sz w:val="24"/>
                <w:szCs w:val="24"/>
                <w:shd w:val="clear" w:color="auto" w:fill="FFFFFF"/>
              </w:rPr>
              <w:t>No</w:t>
            </w:r>
            <w:proofErr w:type="spellEnd"/>
            <w:r w:rsidRPr="00300301">
              <w:rPr>
                <w:rFonts w:ascii="Times New Roman" w:hAnsi="Times New Roman"/>
                <w:color w:val="050505"/>
                <w:sz w:val="24"/>
                <w:szCs w:val="24"/>
                <w:shd w:val="clear" w:color="auto" w:fill="FFFFFF"/>
                <w:lang w:val="uk-UA"/>
              </w:rPr>
              <w:t xml:space="preserve"> 1178 </w:t>
            </w:r>
            <w:proofErr w:type="spellStart"/>
            <w:r w:rsidRPr="00300301">
              <w:rPr>
                <w:rFonts w:ascii="Times New Roman" w:hAnsi="Times New Roman"/>
                <w:color w:val="050505"/>
                <w:sz w:val="24"/>
                <w:szCs w:val="24"/>
                <w:shd w:val="clear" w:color="auto" w:fill="FFFFFF"/>
                <w:lang w:val="uk-UA"/>
              </w:rPr>
              <w:t>“Про</w:t>
            </w:r>
            <w:proofErr w:type="spellEnd"/>
            <w:r w:rsidRPr="00300301">
              <w:rPr>
                <w:rFonts w:ascii="Times New Roman" w:hAnsi="Times New Roman"/>
                <w:color w:val="050505"/>
                <w:sz w:val="24"/>
                <w:szCs w:val="24"/>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00301">
              <w:rPr>
                <w:rFonts w:ascii="Times New Roman" w:hAnsi="Times New Roman"/>
                <w:color w:val="050505"/>
                <w:sz w:val="24"/>
                <w:szCs w:val="24"/>
                <w:shd w:val="clear" w:color="auto" w:fill="FFFFFF"/>
                <w:lang w:val="uk-UA"/>
              </w:rPr>
              <w:t>“Про</w:t>
            </w:r>
            <w:proofErr w:type="spellEnd"/>
            <w:r w:rsidRPr="00300301">
              <w:rPr>
                <w:rFonts w:ascii="Times New Roman" w:hAnsi="Times New Roman"/>
                <w:color w:val="050505"/>
                <w:sz w:val="24"/>
                <w:szCs w:val="24"/>
                <w:shd w:val="clear" w:color="auto" w:fill="FFFFFF"/>
                <w:lang w:val="uk-UA"/>
              </w:rPr>
              <w:t xml:space="preserve"> публічні </w:t>
            </w:r>
            <w:proofErr w:type="spellStart"/>
            <w:r w:rsidRPr="00300301">
              <w:rPr>
                <w:rFonts w:ascii="Times New Roman" w:hAnsi="Times New Roman"/>
                <w:color w:val="050505"/>
                <w:sz w:val="24"/>
                <w:szCs w:val="24"/>
                <w:shd w:val="clear" w:color="auto" w:fill="FFFFFF"/>
                <w:lang w:val="uk-UA"/>
              </w:rPr>
              <w:t>закупі</w:t>
            </w:r>
            <w:proofErr w:type="gramStart"/>
            <w:r w:rsidRPr="00300301">
              <w:rPr>
                <w:rFonts w:ascii="Times New Roman" w:hAnsi="Times New Roman"/>
                <w:color w:val="050505"/>
                <w:sz w:val="24"/>
                <w:szCs w:val="24"/>
                <w:shd w:val="clear" w:color="auto" w:fill="FFFFFF"/>
                <w:lang w:val="uk-UA"/>
              </w:rPr>
              <w:t>вл</w:t>
            </w:r>
            <w:proofErr w:type="gramEnd"/>
            <w:r w:rsidRPr="00300301">
              <w:rPr>
                <w:rFonts w:ascii="Times New Roman" w:hAnsi="Times New Roman"/>
                <w:color w:val="050505"/>
                <w:sz w:val="24"/>
                <w:szCs w:val="24"/>
                <w:shd w:val="clear" w:color="auto" w:fill="FFFFFF"/>
                <w:lang w:val="uk-UA"/>
              </w:rPr>
              <w:t>і”</w:t>
            </w:r>
            <w:proofErr w:type="spellEnd"/>
            <w:r w:rsidRPr="00300301">
              <w:rPr>
                <w:rFonts w:ascii="Times New Roman" w:hAnsi="Times New Roman"/>
                <w:color w:val="050505"/>
                <w:sz w:val="24"/>
                <w:szCs w:val="24"/>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00301">
              <w:rPr>
                <w:rFonts w:ascii="Times New Roman" w:hAnsi="Times New Roman"/>
                <w:color w:val="050505"/>
                <w:sz w:val="24"/>
                <w:szCs w:val="24"/>
                <w:shd w:val="clear" w:color="auto" w:fill="FFFFFF"/>
                <w:lang w:val="uk-UA"/>
              </w:rPr>
              <w:t>скасування”</w:t>
            </w:r>
            <w:proofErr w:type="spellEnd"/>
            <w:r w:rsidRPr="00300301">
              <w:rPr>
                <w:rFonts w:ascii="Times New Roman" w:hAnsi="Times New Roman"/>
                <w:color w:val="050505"/>
                <w:sz w:val="24"/>
                <w:szCs w:val="24"/>
                <w:shd w:val="clear" w:color="auto" w:fill="FFFFFF"/>
                <w:lang w:val="uk-UA"/>
              </w:rPr>
              <w:t xml:space="preserve"> (Офіційний вісник України, 2022 р., </w:t>
            </w:r>
            <w:proofErr w:type="spellStart"/>
            <w:proofErr w:type="gramStart"/>
            <w:r w:rsidRPr="00300301">
              <w:rPr>
                <w:rFonts w:ascii="Times New Roman" w:hAnsi="Times New Roman"/>
                <w:color w:val="050505"/>
                <w:sz w:val="24"/>
                <w:szCs w:val="24"/>
                <w:shd w:val="clear" w:color="auto" w:fill="FFFFFF"/>
              </w:rPr>
              <w:t>No</w:t>
            </w:r>
            <w:proofErr w:type="spellEnd"/>
            <w:r w:rsidRPr="00300301">
              <w:rPr>
                <w:rFonts w:ascii="Times New Roman" w:hAnsi="Times New Roman"/>
                <w:color w:val="050505"/>
                <w:sz w:val="24"/>
                <w:szCs w:val="24"/>
                <w:shd w:val="clear" w:color="auto" w:fill="FFFFFF"/>
                <w:lang w:val="uk-UA"/>
              </w:rPr>
              <w:t xml:space="preserve"> 84, ст. 5176)</w:t>
            </w:r>
            <w:proofErr w:type="gramEnd"/>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xml:space="preserve">- не відповідає вимогам, установленим у тендерній </w:t>
            </w:r>
            <w:r w:rsidRPr="009176E5">
              <w:rPr>
                <w:rFonts w:ascii="Times New Roman" w:eastAsia="Times New Roman" w:hAnsi="Times New Roman"/>
                <w:color w:val="000000"/>
                <w:sz w:val="24"/>
                <w:szCs w:val="24"/>
                <w:lang w:val="uk-UA"/>
              </w:rPr>
              <w:lastRenderedPageBreak/>
              <w:t>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A5C">
              <w:rPr>
                <w:rFonts w:ascii="Times New Roman" w:eastAsia="Times New Roman" w:hAnsi="Times New Roman"/>
                <w:sz w:val="24"/>
                <w:szCs w:val="24"/>
                <w:lang w:val="uk-UA" w:eastAsia="ru-RU"/>
              </w:rPr>
              <w:lastRenderedPageBreak/>
              <w:t xml:space="preserve">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виконання </w:t>
            </w:r>
            <w:r w:rsidRPr="00B413F2">
              <w:rPr>
                <w:rFonts w:ascii="Times New Roman" w:eastAsia="Times New Roman" w:hAnsi="Times New Roman"/>
                <w:sz w:val="24"/>
                <w:szCs w:val="24"/>
                <w:lang w:val="uk-UA" w:eastAsia="ru-RU"/>
              </w:rPr>
              <w:lastRenderedPageBreak/>
              <w:t>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32E9"/>
    <w:rsid w:val="00015A45"/>
    <w:rsid w:val="00016C3E"/>
    <w:rsid w:val="000266B9"/>
    <w:rsid w:val="0003202B"/>
    <w:rsid w:val="000370F1"/>
    <w:rsid w:val="00042300"/>
    <w:rsid w:val="0005691C"/>
    <w:rsid w:val="000601CF"/>
    <w:rsid w:val="00060FC0"/>
    <w:rsid w:val="00075421"/>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F21"/>
    <w:rsid w:val="001C5C16"/>
    <w:rsid w:val="001D20FA"/>
    <w:rsid w:val="001E4346"/>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916CC"/>
    <w:rsid w:val="002A3BE2"/>
    <w:rsid w:val="002B2F0F"/>
    <w:rsid w:val="002B6C12"/>
    <w:rsid w:val="002C211F"/>
    <w:rsid w:val="002C47C7"/>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C59E4"/>
    <w:rsid w:val="003C5FEA"/>
    <w:rsid w:val="00421917"/>
    <w:rsid w:val="004230B6"/>
    <w:rsid w:val="00427DE2"/>
    <w:rsid w:val="004411EC"/>
    <w:rsid w:val="00444718"/>
    <w:rsid w:val="00453CC2"/>
    <w:rsid w:val="00454C8F"/>
    <w:rsid w:val="00457826"/>
    <w:rsid w:val="00460492"/>
    <w:rsid w:val="0046607A"/>
    <w:rsid w:val="00483910"/>
    <w:rsid w:val="00486F6F"/>
    <w:rsid w:val="004A2161"/>
    <w:rsid w:val="004A5DBB"/>
    <w:rsid w:val="004B3D0D"/>
    <w:rsid w:val="004C22C5"/>
    <w:rsid w:val="004E2574"/>
    <w:rsid w:val="004E4FF2"/>
    <w:rsid w:val="004E52BB"/>
    <w:rsid w:val="004F67F9"/>
    <w:rsid w:val="00502112"/>
    <w:rsid w:val="00502948"/>
    <w:rsid w:val="00520942"/>
    <w:rsid w:val="00523D79"/>
    <w:rsid w:val="00530F6D"/>
    <w:rsid w:val="005317C3"/>
    <w:rsid w:val="00537068"/>
    <w:rsid w:val="005406A0"/>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E489D"/>
    <w:rsid w:val="006F252D"/>
    <w:rsid w:val="006F3E54"/>
    <w:rsid w:val="007019CE"/>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B4A"/>
    <w:rsid w:val="007C281C"/>
    <w:rsid w:val="007D22E6"/>
    <w:rsid w:val="007D66DB"/>
    <w:rsid w:val="007F1012"/>
    <w:rsid w:val="008169BE"/>
    <w:rsid w:val="00830F34"/>
    <w:rsid w:val="00833937"/>
    <w:rsid w:val="008613B5"/>
    <w:rsid w:val="00862AC4"/>
    <w:rsid w:val="008643C2"/>
    <w:rsid w:val="00877A5C"/>
    <w:rsid w:val="00885BB8"/>
    <w:rsid w:val="008931B8"/>
    <w:rsid w:val="00896274"/>
    <w:rsid w:val="00897BF9"/>
    <w:rsid w:val="008A42A0"/>
    <w:rsid w:val="008A7C05"/>
    <w:rsid w:val="008B0630"/>
    <w:rsid w:val="008B06F3"/>
    <w:rsid w:val="008C1FF4"/>
    <w:rsid w:val="008E326D"/>
    <w:rsid w:val="008E5829"/>
    <w:rsid w:val="008F54BC"/>
    <w:rsid w:val="008F7BC0"/>
    <w:rsid w:val="00900F01"/>
    <w:rsid w:val="009014AD"/>
    <w:rsid w:val="00910145"/>
    <w:rsid w:val="0091705A"/>
    <w:rsid w:val="009176E5"/>
    <w:rsid w:val="00923C81"/>
    <w:rsid w:val="0092480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D59D5"/>
    <w:rsid w:val="009E7C12"/>
    <w:rsid w:val="00A05592"/>
    <w:rsid w:val="00A13AC1"/>
    <w:rsid w:val="00A220C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B1DF9"/>
    <w:rsid w:val="00CB626C"/>
    <w:rsid w:val="00CC0E9A"/>
    <w:rsid w:val="00CC6EA6"/>
    <w:rsid w:val="00CE7D1C"/>
    <w:rsid w:val="00D03BB7"/>
    <w:rsid w:val="00D0542B"/>
    <w:rsid w:val="00D15F4A"/>
    <w:rsid w:val="00D208DC"/>
    <w:rsid w:val="00D24F3A"/>
    <w:rsid w:val="00D40E71"/>
    <w:rsid w:val="00D53EE4"/>
    <w:rsid w:val="00D63F7D"/>
    <w:rsid w:val="00D6489D"/>
    <w:rsid w:val="00D95D4B"/>
    <w:rsid w:val="00DA32CB"/>
    <w:rsid w:val="00DB0F54"/>
    <w:rsid w:val="00DB1C1F"/>
    <w:rsid w:val="00DC0363"/>
    <w:rsid w:val="00DC0509"/>
    <w:rsid w:val="00DD649A"/>
    <w:rsid w:val="00E012F6"/>
    <w:rsid w:val="00E01EE1"/>
    <w:rsid w:val="00E1119C"/>
    <w:rsid w:val="00E55580"/>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19</Pages>
  <Words>27305</Words>
  <Characters>15565</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129</cp:revision>
  <dcterms:created xsi:type="dcterms:W3CDTF">2022-10-21T06:06:00Z</dcterms:created>
  <dcterms:modified xsi:type="dcterms:W3CDTF">2024-03-29T13:23:00Z</dcterms:modified>
</cp:coreProperties>
</file>