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847C" w14:textId="77777777" w:rsidR="00CF7FFE" w:rsidRDefault="00CF7FFE" w:rsidP="00CF7F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5</w:t>
      </w:r>
    </w:p>
    <w:p w14:paraId="71257D7C" w14:textId="77777777" w:rsidR="00CF7FFE" w:rsidRDefault="00CF7FFE" w:rsidP="00CF7F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14:paraId="464BE260" w14:textId="77777777" w:rsidR="00CF7FFE" w:rsidRDefault="00CF7FFE" w:rsidP="00CF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85F1B" w14:textId="77777777" w:rsidR="00CF7FFE" w:rsidRDefault="00CF7FFE" w:rsidP="00CF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ДОКУМЕНТИ, </w:t>
      </w:r>
    </w:p>
    <w:p w14:paraId="55A56DAB" w14:textId="77777777" w:rsidR="00CF7FFE" w:rsidRPr="001E5369" w:rsidRDefault="00CF7FFE" w:rsidP="00CF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для ПЕРЕМОЖЦЯ</w:t>
      </w:r>
      <w:r w:rsidRPr="00AF1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53D4">
        <w:rPr>
          <w:rFonts w:ascii="Times New Roman" w:hAnsi="Times New Roman" w:cs="Times New Roman"/>
          <w:b/>
          <w:sz w:val="24"/>
          <w:szCs w:val="24"/>
        </w:rPr>
        <w:t>процедури закупів</w:t>
      </w:r>
      <w:r>
        <w:rPr>
          <w:rFonts w:ascii="Times New Roman" w:hAnsi="Times New Roman" w:cs="Times New Roman"/>
          <w:b/>
          <w:sz w:val="24"/>
          <w:szCs w:val="24"/>
        </w:rPr>
        <w:t>лі</w:t>
      </w:r>
      <w:r w:rsidRPr="003953D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66D1150" w14:textId="77777777" w:rsidR="00CF7FFE" w:rsidRPr="003953D4" w:rsidRDefault="00CF7FFE" w:rsidP="00CF7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D4">
        <w:rPr>
          <w:rFonts w:ascii="Times New Roman" w:hAnsi="Times New Roman" w:cs="Times New Roman"/>
          <w:b/>
          <w:sz w:val="24"/>
          <w:szCs w:val="24"/>
        </w:rPr>
        <w:t>що надаються для підтвердження відсутності підстав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53D4">
        <w:rPr>
          <w:rFonts w:ascii="Times New Roman" w:hAnsi="Times New Roman" w:cs="Times New Roman"/>
          <w:b/>
          <w:sz w:val="24"/>
          <w:szCs w:val="24"/>
        </w:rPr>
        <w:t xml:space="preserve">визначених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пунктом 47 Особливостей, </w:t>
      </w:r>
      <w:r w:rsidRPr="003953D4">
        <w:rPr>
          <w:rFonts w:ascii="Times New Roman" w:hAnsi="Times New Roman" w:cs="Times New Roman"/>
          <w:b/>
          <w:sz w:val="24"/>
          <w:szCs w:val="24"/>
        </w:rPr>
        <w:t>а також документи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53D4">
        <w:rPr>
          <w:rFonts w:ascii="Times New Roman" w:hAnsi="Times New Roman" w:cs="Times New Roman"/>
          <w:b/>
          <w:sz w:val="24"/>
          <w:szCs w:val="24"/>
        </w:rPr>
        <w:t>що надаються для укладання договору</w:t>
      </w:r>
    </w:p>
    <w:p w14:paraId="613DFBE2" w14:textId="77777777" w:rsidR="00CF7FFE" w:rsidRDefault="00CF7FFE" w:rsidP="00CF7FFE">
      <w:pPr>
        <w:tabs>
          <w:tab w:val="left" w:pos="5805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F4F46E" w14:textId="77777777" w:rsidR="00E425CF" w:rsidRPr="00E425CF" w:rsidRDefault="00E26A81" w:rsidP="00E26A81">
      <w:pPr>
        <w:pStyle w:val="a4"/>
        <w:numPr>
          <w:ilvl w:val="0"/>
          <w:numId w:val="2"/>
        </w:numPr>
        <w:tabs>
          <w:tab w:val="left" w:pos="180"/>
        </w:tabs>
        <w:spacing w:after="0" w:line="240" w:lineRule="auto"/>
        <w:ind w:left="-425" w:right="-23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25CF" w:rsidRPr="00E425CF">
        <w:rPr>
          <w:rFonts w:ascii="Times New Roman" w:hAnsi="Times New Roman" w:cs="Times New Roman"/>
          <w:color w:val="000000"/>
          <w:sz w:val="24"/>
          <w:szCs w:val="24"/>
        </w:rPr>
        <w:t xml:space="preserve">Переможець процедури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документи шляхом оприлюднення їх в електронній системі закупівель, які є дійсними на момент оприлюднення Переможця в електронній системі закупівель (у разі відсутності терміну дії документу – документ повинен бути виданий не пізніше 30-денної давнини відносно фактичної дати розкриття тендерних пропозицій). </w:t>
      </w:r>
    </w:p>
    <w:p w14:paraId="4D51E5F2" w14:textId="77777777" w:rsidR="00E425CF" w:rsidRPr="00E67A10" w:rsidRDefault="00E425CF" w:rsidP="00E26A81">
      <w:pPr>
        <w:tabs>
          <w:tab w:val="left" w:pos="180"/>
        </w:tabs>
        <w:spacing w:after="0" w:line="240" w:lineRule="auto"/>
        <w:ind w:left="-425" w:right="-25"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5115"/>
        <w:gridCol w:w="4560"/>
      </w:tblGrid>
      <w:tr w:rsidR="00E425CF" w:rsidRPr="00BB0790" w14:paraId="0ED6D414" w14:textId="77777777" w:rsidTr="00E425CF">
        <w:trPr>
          <w:trHeight w:val="644"/>
          <w:jc w:val="center"/>
        </w:trPr>
        <w:tc>
          <w:tcPr>
            <w:tcW w:w="5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14:paraId="59EF416A" w14:textId="77777777" w:rsidR="00E425CF" w:rsidRPr="00A46071" w:rsidRDefault="00E425CF" w:rsidP="00E26A81">
            <w:pPr>
              <w:widowControl w:val="0"/>
              <w:autoSpaceDE w:val="0"/>
              <w:spacing w:after="0" w:line="240" w:lineRule="auto"/>
              <w:ind w:left="-425" w:right="-108" w:firstLine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14:paraId="4AAD6ACE" w14:textId="77777777" w:rsidR="00E425CF" w:rsidRDefault="00E425CF" w:rsidP="00E2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A4607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Підстави </w:t>
            </w:r>
          </w:p>
          <w:p w14:paraId="3D9578A7" w14:textId="77777777" w:rsidR="00251AA1" w:rsidRDefault="00E425CF" w:rsidP="00E2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для відмови в участі у процедурі</w:t>
            </w:r>
          </w:p>
          <w:p w14:paraId="79E73EDE" w14:textId="355FF70D" w:rsidR="00E425CF" w:rsidRPr="00A46071" w:rsidRDefault="00E425CF" w:rsidP="00E2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закупівлі</w:t>
            </w:r>
          </w:p>
        </w:tc>
        <w:tc>
          <w:tcPr>
            <w:tcW w:w="4560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  <w:hideMark/>
          </w:tcPr>
          <w:p w14:paraId="0A2D81BD" w14:textId="5104FCB2" w:rsidR="00E425CF" w:rsidRPr="00A46071" w:rsidRDefault="00E425CF" w:rsidP="00251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Документи,</w:t>
            </w:r>
            <w:r w:rsidR="00251A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A4607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що підтверджують відсутність підстав для відмови в участі у процедурі закупівлі</w:t>
            </w:r>
          </w:p>
        </w:tc>
      </w:tr>
      <w:tr w:rsidR="00E425CF" w:rsidRPr="00BB0790" w14:paraId="3CBDBA1B" w14:textId="77777777" w:rsidTr="00E425CF">
        <w:trPr>
          <w:trHeight w:val="1947"/>
          <w:jc w:val="center"/>
        </w:trPr>
        <w:tc>
          <w:tcPr>
            <w:tcW w:w="5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14:paraId="6292C161" w14:textId="77777777" w:rsidR="00E425CF" w:rsidRPr="00A46071" w:rsidRDefault="00E425CF" w:rsidP="009852E1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14:paraId="33119655" w14:textId="77777777" w:rsidR="00E425CF" w:rsidRPr="00A46071" w:rsidRDefault="00E425CF" w:rsidP="00985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пов'язаного з корупцією</w:t>
            </w:r>
          </w:p>
        </w:tc>
        <w:tc>
          <w:tcPr>
            <w:tcW w:w="4560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14:paraId="44C10A87" w14:textId="77777777" w:rsidR="00E425CF" w:rsidRPr="00A46071" w:rsidRDefault="00E425CF" w:rsidP="00E4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 щодо </w:t>
            </w:r>
            <w:r w:rsidRPr="00A4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відповідної особи</w:t>
            </w:r>
          </w:p>
        </w:tc>
      </w:tr>
      <w:tr w:rsidR="00E425CF" w:rsidRPr="00BB0790" w14:paraId="260FB826" w14:textId="77777777" w:rsidTr="00E425CF">
        <w:trPr>
          <w:trHeight w:val="1731"/>
          <w:jc w:val="center"/>
        </w:trPr>
        <w:tc>
          <w:tcPr>
            <w:tcW w:w="5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14:paraId="55996836" w14:textId="77777777" w:rsidR="00E425CF" w:rsidRPr="00A46071" w:rsidRDefault="00E425CF" w:rsidP="009852E1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14:paraId="793FC79D" w14:textId="77777777" w:rsidR="00E425CF" w:rsidRPr="00A46071" w:rsidRDefault="00E425CF" w:rsidP="00985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пов'язане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4560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1ED9D6BC" w14:textId="77777777" w:rsidR="00E425CF" w:rsidRPr="00A46071" w:rsidRDefault="00E425CF" w:rsidP="009852E1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A46071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  <w:t>щодо відповідної особи</w:t>
            </w:r>
          </w:p>
        </w:tc>
      </w:tr>
      <w:tr w:rsidR="00E425CF" w:rsidRPr="00BB0790" w14:paraId="4476E93C" w14:textId="77777777" w:rsidTr="00E425CF">
        <w:trPr>
          <w:trHeight w:val="2153"/>
          <w:jc w:val="center"/>
        </w:trPr>
        <w:tc>
          <w:tcPr>
            <w:tcW w:w="5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14:paraId="44185914" w14:textId="77777777" w:rsidR="00E425CF" w:rsidRPr="00A46071" w:rsidRDefault="00E425CF" w:rsidP="009852E1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14:paraId="751E34D8" w14:textId="77777777" w:rsidR="00E425CF" w:rsidRPr="00A46071" w:rsidRDefault="00E425CF" w:rsidP="00E4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4560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14:paraId="22DE47D8" w14:textId="77777777" w:rsidR="00E425CF" w:rsidRPr="00A46071" w:rsidRDefault="00E425CF" w:rsidP="009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CF" w:rsidRPr="00BB0790" w14:paraId="5E8E06C8" w14:textId="77777777" w:rsidTr="00E425CF">
        <w:trPr>
          <w:trHeight w:val="2118"/>
          <w:jc w:val="center"/>
        </w:trPr>
        <w:tc>
          <w:tcPr>
            <w:tcW w:w="5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14:paraId="20DE6C61" w14:textId="77777777" w:rsidR="00E425CF" w:rsidRPr="00A46071" w:rsidRDefault="00E425CF" w:rsidP="009852E1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14:paraId="0FF086F4" w14:textId="77777777" w:rsidR="00E425CF" w:rsidRPr="00A46071" w:rsidRDefault="00E425CF" w:rsidP="00985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4560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14:paraId="1975FD95" w14:textId="77777777" w:rsidR="00E425CF" w:rsidRPr="00A46071" w:rsidRDefault="00E425CF" w:rsidP="009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CF" w:rsidRPr="005C27A5" w14:paraId="00DD1F78" w14:textId="77777777" w:rsidTr="00E425CF">
        <w:trPr>
          <w:trHeight w:val="564"/>
          <w:jc w:val="center"/>
        </w:trPr>
        <w:tc>
          <w:tcPr>
            <w:tcW w:w="5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14:paraId="09A715B4" w14:textId="77777777" w:rsidR="00E425CF" w:rsidRPr="00A46071" w:rsidRDefault="00E425CF" w:rsidP="009852E1">
            <w:pPr>
              <w:widowControl w:val="0"/>
              <w:autoSpaceDE w:val="0"/>
              <w:spacing w:after="0" w:line="240" w:lineRule="auto"/>
              <w:ind w:left="-26" w:right="-108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  <w:hideMark/>
          </w:tcPr>
          <w:p w14:paraId="69F85535" w14:textId="77777777" w:rsidR="00E425CF" w:rsidRPr="00A46071" w:rsidRDefault="00E425CF" w:rsidP="00985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</w:t>
            </w:r>
            <w:r w:rsidRPr="00A460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разі, коли 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</w:tc>
        <w:tc>
          <w:tcPr>
            <w:tcW w:w="456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14:paraId="76E9C2A5" w14:textId="77777777" w:rsidR="00E425CF" w:rsidRPr="00A46071" w:rsidRDefault="00E425CF" w:rsidP="00985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Довідку в довільній формі, щодо відсутності підстав</w:t>
            </w:r>
          </w:p>
        </w:tc>
      </w:tr>
    </w:tbl>
    <w:p w14:paraId="3E0CE4E2" w14:textId="77777777" w:rsidR="00E425CF" w:rsidRPr="00875356" w:rsidRDefault="00E425CF" w:rsidP="00E425CF">
      <w:pPr>
        <w:spacing w:after="0" w:line="240" w:lineRule="auto"/>
        <w:ind w:left="-425" w:right="-79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FB584FA" w14:textId="2090595A" w:rsidR="00E425CF" w:rsidRPr="00E425CF" w:rsidRDefault="00E425CF" w:rsidP="00E425CF">
      <w:pPr>
        <w:spacing w:after="0" w:line="240" w:lineRule="auto"/>
        <w:ind w:left="-425" w:right="-79" w:firstLine="425"/>
        <w:jc w:val="both"/>
        <w:rPr>
          <w:rFonts w:ascii="Times New Roman" w:hAnsi="Times New Roman" w:cs="Times New Roman"/>
          <w:i/>
          <w:lang w:eastAsia="en-US"/>
        </w:rPr>
      </w:pPr>
      <w:r w:rsidRPr="00875356">
        <w:rPr>
          <w:rFonts w:ascii="Times New Roman" w:hAnsi="Times New Roman" w:cs="Times New Roman"/>
          <w:lang w:eastAsia="en-US"/>
        </w:rPr>
        <w:t>*</w:t>
      </w:r>
      <w:r w:rsidRPr="00E425CF">
        <w:rPr>
          <w:rFonts w:ascii="Times New Roman" w:hAnsi="Times New Roman" w:cs="Times New Roman"/>
          <w:i/>
          <w:lang w:eastAsia="en-US"/>
        </w:rPr>
        <w:t>У разі подання тендерної пропозиції об’єднанням учасників</w:t>
      </w:r>
      <w:r w:rsidR="00875356">
        <w:rPr>
          <w:rFonts w:ascii="Times New Roman" w:hAnsi="Times New Roman" w:cs="Times New Roman"/>
          <w:i/>
          <w:lang w:eastAsia="en-US"/>
        </w:rPr>
        <w:t>,</w:t>
      </w:r>
      <w:r w:rsidRPr="00E425CF">
        <w:rPr>
          <w:rFonts w:ascii="Times New Roman" w:hAnsi="Times New Roman" w:cs="Times New Roman"/>
          <w:i/>
          <w:lang w:eastAsia="en-US"/>
        </w:rPr>
        <w:t xml:space="preserve"> підтвердження відсутності підстав для відмови в участі у процедурі закупівлі</w:t>
      </w:r>
      <w:r w:rsidR="00875356">
        <w:rPr>
          <w:rFonts w:ascii="Times New Roman" w:hAnsi="Times New Roman" w:cs="Times New Roman"/>
          <w:i/>
          <w:lang w:eastAsia="en-US"/>
        </w:rPr>
        <w:t xml:space="preserve">, </w:t>
      </w:r>
      <w:r w:rsidRPr="00E425CF">
        <w:rPr>
          <w:rFonts w:ascii="Times New Roman" w:hAnsi="Times New Roman" w:cs="Times New Roman"/>
          <w:i/>
          <w:lang w:eastAsia="en-US"/>
        </w:rPr>
        <w:t>встановленими пунктом 4</w:t>
      </w:r>
      <w:r w:rsidR="00875356">
        <w:rPr>
          <w:rFonts w:ascii="Times New Roman" w:hAnsi="Times New Roman" w:cs="Times New Roman"/>
          <w:i/>
          <w:lang w:eastAsia="en-US"/>
        </w:rPr>
        <w:t>7</w:t>
      </w:r>
      <w:r w:rsidRPr="00E425CF">
        <w:rPr>
          <w:rFonts w:ascii="Times New Roman" w:hAnsi="Times New Roman" w:cs="Times New Roman"/>
          <w:i/>
          <w:lang w:eastAsia="en-US"/>
        </w:rPr>
        <w:t xml:space="preserve"> Особливостей</w:t>
      </w:r>
      <w:r w:rsidR="00875356">
        <w:rPr>
          <w:rFonts w:ascii="Times New Roman" w:hAnsi="Times New Roman" w:cs="Times New Roman"/>
          <w:i/>
          <w:lang w:eastAsia="en-US"/>
        </w:rPr>
        <w:t>,</w:t>
      </w:r>
      <w:r w:rsidRPr="00E425CF">
        <w:rPr>
          <w:rFonts w:ascii="Times New Roman" w:hAnsi="Times New Roman" w:cs="Times New Roman"/>
          <w:i/>
          <w:lang w:eastAsia="en-US"/>
        </w:rPr>
        <w:t xml:space="preserve"> подається по кожному з учасників, які входять у склад об’єднання окремо.</w:t>
      </w:r>
    </w:p>
    <w:p w14:paraId="41BB25B7" w14:textId="77777777" w:rsidR="00E425CF" w:rsidRPr="00E425CF" w:rsidRDefault="00E425CF" w:rsidP="00E425CF">
      <w:pPr>
        <w:spacing w:after="0" w:line="240" w:lineRule="auto"/>
        <w:ind w:left="-425" w:right="-79" w:firstLine="425"/>
        <w:jc w:val="both"/>
        <w:rPr>
          <w:rFonts w:ascii="Times New Roman" w:hAnsi="Times New Roman" w:cs="Times New Roman"/>
          <w:lang w:eastAsia="en-US"/>
        </w:rPr>
      </w:pPr>
    </w:p>
    <w:p w14:paraId="43A2AE7A" w14:textId="77777777" w:rsidR="00E425CF" w:rsidRPr="00E425CF" w:rsidRDefault="00E425CF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</w:rPr>
      </w:pPr>
      <w:r w:rsidRPr="00E425CF">
        <w:rPr>
          <w:rFonts w:ascii="Times New Roman" w:hAnsi="Times New Roman" w:cs="Times New Roman"/>
          <w:i/>
        </w:rPr>
        <w:t>*</w:t>
      </w:r>
      <w:r w:rsidRPr="00E425CF">
        <w:rPr>
          <w:rFonts w:ascii="Times New Roman" w:hAnsi="Times New Roman" w:cs="Times New Roman"/>
          <w:i/>
          <w:lang w:val="ru-RU"/>
        </w:rPr>
        <w:t>*</w:t>
      </w:r>
      <w:r w:rsidRPr="00E425CF">
        <w:rPr>
          <w:rFonts w:ascii="Times New Roman" w:hAnsi="Times New Roman" w:cs="Times New Roman"/>
          <w:i/>
        </w:rPr>
        <w:t>Учасники</w:t>
      </w:r>
      <w:r w:rsidR="00E26A81">
        <w:rPr>
          <w:rFonts w:ascii="Times New Roman" w:hAnsi="Times New Roman" w:cs="Times New Roman"/>
          <w:i/>
          <w:lang w:val="ru-RU"/>
        </w:rPr>
        <w:t>-</w:t>
      </w:r>
      <w:r w:rsidRPr="00E425CF">
        <w:rPr>
          <w:rFonts w:ascii="Times New Roman" w:hAnsi="Times New Roman" w:cs="Times New Roman"/>
          <w:i/>
        </w:rPr>
        <w:t>нерезиденти подають документи, що передбачені вимогами цієї тендерної документації, у відповідності до законодавства країни їх реєстрації. Такі документи надаються разом із нотаріально завіреним у встановленому порядку перекладом. Якщо документ не передбачений законодавством країни реєстрації учасника нерезидента, він подає довідку у довільній формі із обґрунтуванням відсутності відповідного документа. Ненадання такої довідки прирівнюється до ненадання відповідного документа.</w:t>
      </w:r>
    </w:p>
    <w:p w14:paraId="530C65B8" w14:textId="77777777" w:rsidR="00E425CF" w:rsidRDefault="00E425CF" w:rsidP="00E425CF">
      <w:pPr>
        <w:tabs>
          <w:tab w:val="left" w:pos="5805"/>
        </w:tabs>
        <w:ind w:left="-425" w:firstLine="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DA73729" w14:textId="77777777" w:rsidR="00CF7FFE" w:rsidRPr="00FA2F7B" w:rsidRDefault="00CF7FFE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F7B">
        <w:rPr>
          <w:rFonts w:ascii="Times New Roman" w:hAnsi="Times New Roman" w:cs="Times New Roman"/>
          <w:sz w:val="24"/>
          <w:szCs w:val="24"/>
        </w:rPr>
        <w:t xml:space="preserve">2. Повноваження щодо підпису договору про закупівлю підтверджується: </w:t>
      </w:r>
    </w:p>
    <w:p w14:paraId="32FBE847" w14:textId="77777777" w:rsidR="00CF7FFE" w:rsidRPr="00FA2F7B" w:rsidRDefault="00CF7FFE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F7B">
        <w:rPr>
          <w:rFonts w:ascii="Times New Roman" w:hAnsi="Times New Roman" w:cs="Times New Roman"/>
          <w:sz w:val="24"/>
          <w:szCs w:val="24"/>
        </w:rPr>
        <w:t xml:space="preserve">–– для посадових (службових) осіб учасника, які уповноважені підписувати договір про закупівлю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</w:t>
      </w:r>
    </w:p>
    <w:p w14:paraId="050AB11B" w14:textId="77777777" w:rsidR="00CF7FFE" w:rsidRPr="00FA2F7B" w:rsidRDefault="00CF7FFE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F7B">
        <w:rPr>
          <w:rFonts w:ascii="Times New Roman" w:hAnsi="Times New Roman" w:cs="Times New Roman"/>
          <w:sz w:val="24"/>
          <w:szCs w:val="24"/>
        </w:rPr>
        <w:t>–– для осіб, що уповноважені представляти інтереси учасника 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повіреного. Додатково подаються  документи, що підтверджують повноваження посадової (службової) особи учасника, що підписала від імені учасника вказану довіреність.</w:t>
      </w:r>
    </w:p>
    <w:p w14:paraId="06390CF6" w14:textId="77777777" w:rsidR="00CF7FFE" w:rsidRPr="00E71C7D" w:rsidRDefault="00CF7FFE" w:rsidP="00E425C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2FD07" w14:textId="77777777" w:rsidR="000541ED" w:rsidRPr="00496ABE" w:rsidRDefault="001D49AD" w:rsidP="001D49AD">
      <w:pPr>
        <w:pStyle w:val="a4"/>
        <w:numPr>
          <w:ilvl w:val="0"/>
          <w:numId w:val="3"/>
        </w:num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6A81">
        <w:rPr>
          <w:rFonts w:ascii="Times New Roman" w:hAnsi="Times New Roman" w:cs="Times New Roman"/>
          <w:sz w:val="24"/>
          <w:szCs w:val="24"/>
        </w:rPr>
        <w:t>Оновлена форма «Тендерна пропозиція»,</w:t>
      </w:r>
      <w:r w:rsidRPr="00E26A81">
        <w:rPr>
          <w:rFonts w:ascii="Times New Roman" w:hAnsi="Times New Roman" w:cs="Times New Roman"/>
          <w:bCs/>
          <w:sz w:val="24"/>
          <w:szCs w:val="24"/>
        </w:rPr>
        <w:t xml:space="preserve"> приведена у відповідність до показників за результатами проведеного аукціону</w:t>
      </w:r>
      <w:r w:rsidR="00E26A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A81" w:rsidRPr="00E26A81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E26A81" w:rsidRPr="00496ABE">
        <w:rPr>
          <w:rFonts w:ascii="Times New Roman" w:hAnsi="Times New Roman" w:cs="Times New Roman"/>
          <w:bCs/>
          <w:i/>
          <w:sz w:val="24"/>
          <w:szCs w:val="24"/>
        </w:rPr>
        <w:t xml:space="preserve">не </w:t>
      </w:r>
      <w:r w:rsidR="00496ABE" w:rsidRPr="00496ABE">
        <w:rPr>
          <w:rFonts w:ascii="Times New Roman" w:hAnsi="Times New Roman" w:cs="Times New Roman"/>
          <w:bCs/>
          <w:i/>
          <w:sz w:val="24"/>
          <w:szCs w:val="24"/>
        </w:rPr>
        <w:t>нада</w:t>
      </w:r>
      <w:r w:rsidR="00496ABE">
        <w:rPr>
          <w:rFonts w:ascii="Times New Roman" w:hAnsi="Times New Roman" w:cs="Times New Roman"/>
          <w:bCs/>
          <w:i/>
          <w:sz w:val="24"/>
          <w:szCs w:val="24"/>
        </w:rPr>
        <w:t>є</w:t>
      </w:r>
      <w:r w:rsidR="00496ABE" w:rsidRPr="00496ABE">
        <w:rPr>
          <w:rFonts w:ascii="Times New Roman" w:hAnsi="Times New Roman" w:cs="Times New Roman"/>
          <w:bCs/>
          <w:i/>
          <w:sz w:val="24"/>
          <w:szCs w:val="24"/>
        </w:rPr>
        <w:t>ться,</w:t>
      </w:r>
      <w:r w:rsidR="00E26A81" w:rsidRPr="00496ABE">
        <w:rPr>
          <w:rFonts w:ascii="Times New Roman" w:hAnsi="Times New Roman" w:cs="Times New Roman"/>
          <w:i/>
          <w:sz w:val="24"/>
          <w:szCs w:val="24"/>
        </w:rPr>
        <w:t xml:space="preserve"> якщо остаточна та первинна пропозиції, зафіксовані електронною системою закупівель, співпадають</w:t>
      </w:r>
      <w:r w:rsidR="00E26A81" w:rsidRPr="00496ABE">
        <w:rPr>
          <w:rFonts w:ascii="Times New Roman" w:hAnsi="Times New Roman" w:cs="Times New Roman"/>
          <w:sz w:val="24"/>
          <w:szCs w:val="24"/>
        </w:rPr>
        <w:t>).</w:t>
      </w:r>
    </w:p>
    <w:sectPr w:rsidR="000541ED" w:rsidRPr="00496ABE" w:rsidSect="00E425C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5FF"/>
    <w:multiLevelType w:val="hybridMultilevel"/>
    <w:tmpl w:val="A002E434"/>
    <w:lvl w:ilvl="0" w:tplc="20A0E336">
      <w:start w:val="3"/>
      <w:numFmt w:val="decimal"/>
      <w:lvlText w:val="%1."/>
      <w:lvlJc w:val="left"/>
      <w:pPr>
        <w:ind w:left="7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517C562B"/>
    <w:multiLevelType w:val="multilevel"/>
    <w:tmpl w:val="D29669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37EE"/>
    <w:multiLevelType w:val="hybridMultilevel"/>
    <w:tmpl w:val="5400E54A"/>
    <w:lvl w:ilvl="0" w:tplc="ABB014E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563612256">
    <w:abstractNumId w:val="1"/>
  </w:num>
  <w:num w:numId="2" w16cid:durableId="280108652">
    <w:abstractNumId w:val="2"/>
  </w:num>
  <w:num w:numId="3" w16cid:durableId="85198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E7F"/>
    <w:rsid w:val="000541ED"/>
    <w:rsid w:val="001D49AD"/>
    <w:rsid w:val="00251AA1"/>
    <w:rsid w:val="00496ABE"/>
    <w:rsid w:val="004B0E7F"/>
    <w:rsid w:val="004E41F2"/>
    <w:rsid w:val="00875356"/>
    <w:rsid w:val="00B92E40"/>
    <w:rsid w:val="00CF7FFE"/>
    <w:rsid w:val="00D24E95"/>
    <w:rsid w:val="00E26A81"/>
    <w:rsid w:val="00E425CF"/>
    <w:rsid w:val="00E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52DA"/>
  <w15:docId w15:val="{1EB43597-151B-4A21-92FB-06E363A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FFE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qFormat/>
    <w:rsid w:val="00CF7FFE"/>
    <w:pPr>
      <w:keepNext/>
      <w:keepLines/>
      <w:spacing w:before="480" w:after="120"/>
      <w:outlineLvl w:val="0"/>
    </w:pPr>
    <w:rPr>
      <w:rFonts w:cs="Times New Roman"/>
      <w:b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FFE"/>
    <w:rPr>
      <w:rFonts w:ascii="Calibri" w:eastAsia="Calibri" w:hAnsi="Calibri" w:cs="Times New Roman"/>
      <w:b/>
      <w:sz w:val="48"/>
      <w:szCs w:val="48"/>
      <w:lang w:val="x-none" w:eastAsia="x-none"/>
    </w:rPr>
  </w:style>
  <w:style w:type="character" w:customStyle="1" w:styleId="a3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,List Paragraph11 Знак"/>
    <w:link w:val="11"/>
    <w:uiPriority w:val="34"/>
    <w:locked/>
    <w:rsid w:val="00CF7FF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aliases w:val="название табл/рис,AC List 01,заголовок 1.1,EBRD List,Список уровня 2,List Paragraph,CA bullets,Elenco Normale,Chapter10,Bullet Number,Bullet 1,Use Case List Paragraph,lp1,lp11,List Paragraph11,List Paragraph (numbered (a)),List_Paragraph"/>
    <w:basedOn w:val="a"/>
    <w:link w:val="a3"/>
    <w:uiPriority w:val="34"/>
    <w:qFormat/>
    <w:rsid w:val="00CF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paragraph" w:styleId="a4">
    <w:name w:val="List Paragraph"/>
    <w:basedOn w:val="a"/>
    <w:uiPriority w:val="34"/>
    <w:qFormat/>
    <w:rsid w:val="00E4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 Руденко</cp:lastModifiedBy>
  <cp:revision>13</cp:revision>
  <dcterms:created xsi:type="dcterms:W3CDTF">2023-10-23T11:40:00Z</dcterms:created>
  <dcterms:modified xsi:type="dcterms:W3CDTF">2023-11-24T08:50:00Z</dcterms:modified>
</cp:coreProperties>
</file>