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Default="00921493" w:rsidP="00FB6C28">
      <w:pPr>
        <w:pStyle w:val="ad"/>
        <w:jc w:val="center"/>
        <w:rPr>
          <w:rFonts w:ascii="Times New Roman" w:hAnsi="Times New Roman" w:cs="Times New Roman"/>
          <w:b/>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2C4FC6">
            <w:pPr>
              <w:pStyle w:val="ad"/>
              <w:spacing w:line="254" w:lineRule="auto"/>
              <w:rPr>
                <w:rFonts w:ascii="Times New Roman" w:hAnsi="Times New Roman" w:cs="Times New Roman"/>
                <w:b/>
                <w:bCs/>
                <w:sz w:val="28"/>
                <w:szCs w:val="28"/>
              </w:rPr>
            </w:pPr>
            <w:r>
              <w:rPr>
                <w:rFonts w:ascii="Times New Roman" w:hAnsi="Times New Roman" w:cs="Times New Roman"/>
                <w:b/>
                <w:sz w:val="28"/>
                <w:szCs w:val="28"/>
              </w:rPr>
              <w:t xml:space="preserve">№20  </w:t>
            </w:r>
            <w:r w:rsidR="00FB6C28">
              <w:rPr>
                <w:rFonts w:ascii="Times New Roman" w:hAnsi="Times New Roman" w:cs="Times New Roman"/>
                <w:b/>
                <w:sz w:val="28"/>
                <w:szCs w:val="28"/>
              </w:rPr>
              <w:t>від «</w:t>
            </w:r>
            <w:r w:rsidR="00921493">
              <w:rPr>
                <w:rFonts w:ascii="Times New Roman" w:hAnsi="Times New Roman" w:cs="Times New Roman"/>
                <w:b/>
                <w:sz w:val="28"/>
                <w:szCs w:val="28"/>
              </w:rPr>
              <w:t xml:space="preserve"> </w:t>
            </w:r>
            <w:r w:rsidR="001846C6">
              <w:rPr>
                <w:rFonts w:ascii="Times New Roman" w:hAnsi="Times New Roman" w:cs="Times New Roman"/>
                <w:b/>
                <w:sz w:val="28"/>
                <w:szCs w:val="28"/>
              </w:rPr>
              <w:t>14</w:t>
            </w:r>
            <w:r w:rsidR="00921493">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DF65FF">
              <w:rPr>
                <w:rFonts w:ascii="Times New Roman" w:hAnsi="Times New Roman" w:cs="Times New Roman"/>
                <w:b/>
                <w:sz w:val="28"/>
                <w:szCs w:val="28"/>
              </w:rPr>
              <w:t>березня</w:t>
            </w:r>
            <w:r w:rsidR="00FB6C28">
              <w:rPr>
                <w:rFonts w:ascii="Times New Roman" w:hAnsi="Times New Roman" w:cs="Times New Roman"/>
                <w:b/>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FB6C28" w:rsidRDefault="00FB6C28" w:rsidP="00FD0D9C">
      <w:pPr>
        <w:spacing w:after="0" w:line="240" w:lineRule="auto"/>
        <w:jc w:val="center"/>
        <w:outlineLvl w:val="1"/>
        <w:rPr>
          <w:rFonts w:ascii="Times New Roman" w:eastAsia="Times New Roman" w:hAnsi="Times New Roman" w:cs="Times New Roman"/>
          <w:sz w:val="24"/>
          <w:szCs w:val="24"/>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CD23F1" w:rsidRPr="00CD23F1">
        <w:rPr>
          <w:rFonts w:ascii="Times New Roman" w:hAnsi="Times New Roman" w:cs="Times New Roman"/>
          <w:b/>
          <w:sz w:val="32"/>
          <w:szCs w:val="32"/>
        </w:rPr>
        <w:tab/>
        <w:t xml:space="preserve">31210000-1 — Електрична апаратура для комутування та захисту електричних кіл </w:t>
      </w:r>
      <w:r w:rsidR="00FD0D9C" w:rsidRPr="00FD0D9C">
        <w:rPr>
          <w:rFonts w:ascii="Times New Roman" w:hAnsi="Times New Roman" w:cs="Times New Roman"/>
          <w:b/>
          <w:sz w:val="32"/>
          <w:szCs w:val="32"/>
        </w:rPr>
        <w:t>(</w:t>
      </w:r>
      <w:r w:rsidR="001C21F6">
        <w:rPr>
          <w:rFonts w:ascii="Times New Roman" w:hAnsi="Times New Roman" w:cs="Times New Roman"/>
          <w:b/>
          <w:sz w:val="32"/>
          <w:szCs w:val="32"/>
        </w:rPr>
        <w:t>автоматичний вимикач ВА 55-41</w:t>
      </w:r>
      <w:r w:rsidR="00FD0D9C" w:rsidRPr="00FD0D9C">
        <w:rPr>
          <w:rFonts w:ascii="Times New Roman" w:hAnsi="Times New Roman" w:cs="Times New Roman"/>
          <w:b/>
          <w:sz w:val="32"/>
          <w:szCs w:val="32"/>
        </w:rPr>
        <w:t>).</w:t>
      </w:r>
    </w:p>
    <w:p w:rsidR="00FB6C28" w:rsidRDefault="00FB6C28" w:rsidP="00FB6C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977062" w:rsidRDefault="00977062" w:rsidP="00977062">
            <w:pPr>
              <w:rPr>
                <w:rFonts w:ascii="Times New Roman" w:hAnsi="Times New Roman" w:cs="Times New Roman"/>
                <w:noProof/>
                <w:sz w:val="24"/>
                <w:szCs w:val="24"/>
              </w:rPr>
            </w:pPr>
            <w:r>
              <w:rPr>
                <w:rFonts w:ascii="Times New Roman" w:hAnsi="Times New Roman" w:cs="Times New Roman"/>
                <w:noProof/>
                <w:sz w:val="24"/>
                <w:szCs w:val="24"/>
              </w:rPr>
              <w:t xml:space="preserve">Тимошенко Сергій Миколайович - інженер-енергетик </w:t>
            </w:r>
            <w:r>
              <w:rPr>
                <w:rFonts w:ascii="Times New Roman" w:hAnsi="Times New Roman" w:cs="Times New Roman"/>
                <w:sz w:val="24"/>
                <w:szCs w:val="24"/>
              </w:rPr>
              <w:t>0630639508</w:t>
            </w:r>
          </w:p>
          <w:p w:rsidR="00FB6C28" w:rsidRPr="00977062" w:rsidRDefault="00FB6C28" w:rsidP="00977062">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2C4FC6" w:rsidRDefault="00ED2D92" w:rsidP="002C4FC6">
            <w:pPr>
              <w:pStyle w:val="ad"/>
              <w:jc w:val="both"/>
              <w:rPr>
                <w:rFonts w:ascii="Times New Roman" w:hAnsi="Times New Roman" w:cs="Times New Roman"/>
                <w:b/>
                <w:sz w:val="24"/>
                <w:szCs w:val="24"/>
              </w:rPr>
            </w:pPr>
            <w:r w:rsidRPr="00ED2D92">
              <w:rPr>
                <w:rFonts w:ascii="Times New Roman" w:hAnsi="Times New Roman" w:cs="Times New Roman"/>
                <w:b/>
                <w:i/>
                <w:sz w:val="24"/>
                <w:szCs w:val="24"/>
              </w:rPr>
              <w:tab/>
              <w:t>31210000-1 — Електрична апаратура для комутування та захисту електричних кіл (автоматичний вимикач ВА 55-41).</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м. Богуслав, вул. Польова, 46-А</w:t>
            </w:r>
          </w:p>
          <w:p w:rsidR="00FB6C28" w:rsidRPr="00BC0C06"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7B16CD">
              <w:rPr>
                <w:rFonts w:ascii="Times New Roman" w:hAnsi="Times New Roman"/>
                <w:sz w:val="24"/>
                <w:szCs w:val="24"/>
              </w:rPr>
              <w:t>автоматичний вимикач ВА 55-41 -1шт.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sidRPr="00FD0D9C">
              <w:rPr>
                <w:rFonts w:ascii="Times New Roman" w:eastAsia="Times New Roman" w:hAnsi="Times New Roman" w:cs="Times New Roman"/>
                <w:sz w:val="24"/>
                <w:szCs w:val="24"/>
              </w:rPr>
              <w:t xml:space="preserve">до  </w:t>
            </w:r>
            <w:r w:rsidR="00D75AC8">
              <w:rPr>
                <w:rFonts w:ascii="Times New Roman" w:eastAsia="Times New Roman" w:hAnsi="Times New Roman" w:cs="Times New Roman"/>
                <w:sz w:val="24"/>
                <w:szCs w:val="24"/>
              </w:rPr>
              <w:t>20</w:t>
            </w:r>
            <w:r w:rsidR="007B16CD">
              <w:rPr>
                <w:rFonts w:ascii="Times New Roman" w:eastAsia="Times New Roman" w:hAnsi="Times New Roman" w:cs="Times New Roman"/>
                <w:sz w:val="24"/>
                <w:szCs w:val="24"/>
              </w:rPr>
              <w:t xml:space="preserve">  квітня  </w:t>
            </w:r>
            <w:r w:rsidRPr="00FD0D9C">
              <w:rPr>
                <w:rFonts w:ascii="Times New Roman" w:eastAsia="Times New Roman" w:hAnsi="Times New Roman" w:cs="Times New Roman"/>
                <w:sz w:val="24"/>
                <w:szCs w:val="24"/>
              </w:rPr>
              <w:t xml:space="preserve">2023 року включно </w:t>
            </w:r>
            <w:r w:rsidR="007B16CD">
              <w:rPr>
                <w:rFonts w:ascii="Times New Roman" w:eastAsia="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Pr>
                <w:rFonts w:ascii="Times New Roman" w:eastAsia="Times New Roman" w:hAnsi="Times New Roman" w:cs="Times New Roman"/>
                <w:sz w:val="24"/>
                <w:szCs w:val="24"/>
              </w:rPr>
              <w:lastRenderedPageBreak/>
              <w:t xml:space="preserve">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 xml:space="preserve">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44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lastRenderedPageBreak/>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переможця, визначених пунктом 44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8352D3" w:rsidP="00FB6C28">
            <w:pPr>
              <w:widowControl w:val="0"/>
              <w:ind w:left="40" w:right="120"/>
              <w:jc w:val="both"/>
              <w:rPr>
                <w:rFonts w:ascii="Times New Roman" w:eastAsia="Times New Roman" w:hAnsi="Times New Roman" w:cs="Times New Roman"/>
                <w:b/>
                <w:sz w:val="24"/>
                <w:szCs w:val="24"/>
              </w:rPr>
            </w:pPr>
            <w:r w:rsidRPr="00F126F8">
              <w:rPr>
                <w:rFonts w:ascii="Times New Roman" w:eastAsia="Times New Roman" w:hAnsi="Times New Roman" w:cs="Times New Roman"/>
                <w:b/>
                <w:color w:val="000000" w:themeColor="text1"/>
                <w:sz w:val="24"/>
                <w:szCs w:val="24"/>
                <w:lang w:val="ru-RU"/>
              </w:rPr>
              <w:t>2</w:t>
            </w:r>
            <w:r w:rsidR="00977062">
              <w:rPr>
                <w:rFonts w:ascii="Times New Roman" w:eastAsia="Times New Roman" w:hAnsi="Times New Roman" w:cs="Times New Roman"/>
                <w:b/>
                <w:color w:val="000000" w:themeColor="text1"/>
                <w:sz w:val="24"/>
                <w:szCs w:val="24"/>
                <w:lang w:val="ru-RU"/>
              </w:rPr>
              <w:t>3</w:t>
            </w:r>
            <w:r w:rsidR="00FB6C28" w:rsidRPr="00F126F8">
              <w:rPr>
                <w:rFonts w:ascii="Times New Roman" w:eastAsia="Times New Roman" w:hAnsi="Times New Roman" w:cs="Times New Roman"/>
                <w:b/>
                <w:color w:val="000000" w:themeColor="text1"/>
                <w:sz w:val="24"/>
                <w:szCs w:val="24"/>
              </w:rPr>
              <w:t>.0</w:t>
            </w:r>
            <w:r w:rsidR="00BC0C06" w:rsidRPr="00F126F8">
              <w:rPr>
                <w:rFonts w:ascii="Times New Roman" w:eastAsia="Times New Roman" w:hAnsi="Times New Roman" w:cs="Times New Roman"/>
                <w:b/>
                <w:color w:val="000000" w:themeColor="text1"/>
                <w:sz w:val="24"/>
                <w:szCs w:val="24"/>
              </w:rPr>
              <w:t>3</w:t>
            </w:r>
            <w:r w:rsidR="00FB6C28" w:rsidRPr="00F126F8">
              <w:rPr>
                <w:rFonts w:ascii="Times New Roman" w:eastAsia="Times New Roman" w:hAnsi="Times New Roman" w:cs="Times New Roman"/>
                <w:b/>
                <w:color w:val="000000" w:themeColor="text1"/>
                <w:sz w:val="24"/>
                <w:szCs w:val="24"/>
              </w:rPr>
              <w:t xml:space="preserve">. 2023 </w:t>
            </w:r>
            <w:proofErr w:type="gramStart"/>
            <w:r w:rsidR="00FB6C28" w:rsidRPr="00F126F8">
              <w:rPr>
                <w:rFonts w:ascii="Times New Roman" w:eastAsia="Times New Roman" w:hAnsi="Times New Roman" w:cs="Times New Roman"/>
                <w:b/>
                <w:color w:val="000000" w:themeColor="text1"/>
                <w:sz w:val="24"/>
                <w:szCs w:val="24"/>
              </w:rPr>
              <w:t>року</w:t>
            </w:r>
            <w:r w:rsidR="00F126F8">
              <w:rPr>
                <w:rFonts w:ascii="Times New Roman" w:eastAsia="Times New Roman" w:hAnsi="Times New Roman" w:cs="Times New Roman"/>
                <w:b/>
                <w:sz w:val="24"/>
                <w:szCs w:val="24"/>
              </w:rPr>
              <w:t xml:space="preserve"> </w:t>
            </w:r>
            <w:r w:rsidR="00FB6C28">
              <w:rPr>
                <w:rFonts w:ascii="Times New Roman" w:eastAsia="Times New Roman" w:hAnsi="Times New Roman" w:cs="Times New Roman"/>
                <w:b/>
                <w:sz w:val="24"/>
                <w:szCs w:val="24"/>
              </w:rPr>
              <w:t xml:space="preserve"> до</w:t>
            </w:r>
            <w:proofErr w:type="gramEnd"/>
            <w:r w:rsidR="00FB6C28">
              <w:rPr>
                <w:rFonts w:ascii="Times New Roman" w:eastAsia="Times New Roman" w:hAnsi="Times New Roman" w:cs="Times New Roman"/>
                <w:b/>
                <w:sz w:val="24"/>
                <w:szCs w:val="24"/>
              </w:rPr>
              <w:t xml:space="preserve"> </w:t>
            </w:r>
            <w:r w:rsidR="00DF65FF">
              <w:rPr>
                <w:rFonts w:ascii="Times New Roman" w:eastAsia="Times New Roman" w:hAnsi="Times New Roman" w:cs="Times New Roman"/>
                <w:b/>
                <w:sz w:val="24"/>
                <w:szCs w:val="24"/>
              </w:rPr>
              <w:t>00</w:t>
            </w:r>
            <w:r w:rsidR="00FB6C28">
              <w:rPr>
                <w:rFonts w:ascii="Times New Roman" w:eastAsia="Times New Roman" w:hAnsi="Times New Roman" w:cs="Times New Roman"/>
                <w:b/>
                <w:sz w:val="24"/>
                <w:szCs w:val="24"/>
              </w:rPr>
              <w:t>:00</w:t>
            </w:r>
            <w:r w:rsidR="00FB6C28">
              <w:rPr>
                <w:rFonts w:ascii="Times New Roman" w:eastAsia="Times New Roman" w:hAnsi="Times New Roman" w:cs="Times New Roman"/>
                <w:b/>
                <w:color w:val="FF0000"/>
                <w:sz w:val="24"/>
                <w:szCs w:val="24"/>
              </w:rPr>
              <w:t xml:space="preserve"> </w:t>
            </w:r>
            <w:r w:rsidR="00FB6C28">
              <w:rPr>
                <w:rFonts w:ascii="Times New Roman" w:eastAsia="Times New Roman" w:hAnsi="Times New Roman" w:cs="Times New Roman"/>
                <w:color w:val="000000"/>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може перевищувати очікувану вартість предмета закупівлі</w:t>
            </w:r>
            <w:r w:rsidR="00C558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r w:rsidR="00C558C9">
              <w:rPr>
                <w:rFonts w:ascii="Times New Roman" w:eastAsia="Times New Roman" w:hAnsi="Times New Roman" w:cs="Times New Roman"/>
                <w:sz w:val="24"/>
                <w:szCs w:val="24"/>
              </w:rPr>
              <w:t xml:space="preserve"> Прийнятий відсоток перевищення не більше 25%.</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6C28" w:rsidRDefault="00FB6C28" w:rsidP="00FB6C28">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6C28" w:rsidRDefault="00FB6C28" w:rsidP="00FB6C2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 разі отримання достовірної інформації про</w:t>
            </w:r>
            <w:r w:rsidRPr="00B07B26">
              <w:rPr>
                <w:rFonts w:ascii="Times New Roman" w:hAnsi="Times New Roman"/>
                <w:sz w:val="24"/>
                <w:szCs w:val="24"/>
                <w:lang w:val="uk-UA"/>
              </w:rPr>
              <w:t xml:space="preserve"> </w:t>
            </w:r>
            <w:r w:rsidRPr="00B07B26">
              <w:rPr>
                <w:rFonts w:ascii="Times New Roman" w:hAnsi="Times New Roman"/>
                <w:sz w:val="24"/>
                <w:szCs w:val="24"/>
              </w:rPr>
              <w:t>невідповідність учасника процедури закупівлі вимогам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кваліфікаційних критеріїв, наявність підстав, визначених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пунктом 44 цих особливостей, або факту зазначення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тендерній пропозиції будь-якої недостовірної інформації,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що є суттєвою під час визначення результатів відкритих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торгів, замовник відхиляє тендерну пропозицію такого</w:t>
            </w:r>
          </w:p>
          <w:p w:rsidR="00B07B26" w:rsidRP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учасника процедури закупівлі.</w:t>
            </w:r>
          </w:p>
          <w:p w:rsidR="00B07B26" w:rsidRPr="00B07B26" w:rsidRDefault="00B07B26" w:rsidP="00B07B26">
            <w:pPr>
              <w:pStyle w:val="17"/>
              <w:jc w:val="both"/>
              <w:rPr>
                <w:rFonts w:ascii="Times New Roman" w:hAnsi="Times New Roman"/>
                <w:sz w:val="24"/>
                <w:szCs w:val="24"/>
                <w:lang w:val="uk-UA"/>
              </w:rPr>
            </w:pPr>
          </w:p>
          <w:p w:rsidR="00FB6C28" w:rsidRDefault="00FB6C28" w:rsidP="00B07B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w:t>
            </w:r>
            <w:r>
              <w:rPr>
                <w:rFonts w:ascii="Times New Roman" w:eastAsia="Times New Roman" w:hAnsi="Times New Roman" w:cs="Times New Roman"/>
                <w:b/>
                <w:sz w:val="24"/>
                <w:szCs w:val="24"/>
                <w:highlight w:val="white"/>
              </w:rPr>
              <w:lastRenderedPageBreak/>
              <w:t xml:space="preserve">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729EB">
              <w:rPr>
                <w:rFonts w:ascii="Times New Roman" w:eastAsia="Times New Roman" w:hAnsi="Times New Roman" w:cs="Times New Roman"/>
                <w:sz w:val="24"/>
                <w:szCs w:val="24"/>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Відхилення тендерних </w:t>
            </w:r>
            <w:r>
              <w:rPr>
                <w:rFonts w:ascii="Times New Roman" w:eastAsia="Times New Roman" w:hAnsi="Times New Roman" w:cs="Times New Roman"/>
                <w:b/>
                <w:color w:val="000000"/>
                <w:sz w:val="24"/>
                <w:szCs w:val="24"/>
              </w:rPr>
              <w:lastRenderedPageBreak/>
              <w:t>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729EB" w:rsidRPr="00D729EB" w:rsidRDefault="00FB6C28" w:rsidP="00D729EB">
            <w:pPr>
              <w:pStyle w:val="17"/>
              <w:rPr>
                <w:rFonts w:ascii="Times New Roman" w:hAnsi="Times New Roman"/>
                <w:sz w:val="24"/>
                <w:szCs w:val="24"/>
                <w:lang w:val="uk-UA"/>
              </w:rPr>
            </w:pPr>
            <w:r w:rsidRPr="00D729EB">
              <w:rPr>
                <w:highlight w:val="white"/>
                <w:lang w:val="uk-UA"/>
              </w:rPr>
              <w:t xml:space="preserve">- </w:t>
            </w:r>
            <w:r w:rsidR="00D729EB" w:rsidRPr="00D729EB">
              <w:rPr>
                <w:rFonts w:ascii="Times New Roman" w:hAnsi="Times New Roman"/>
                <w:sz w:val="24"/>
                <w:szCs w:val="24"/>
                <w:lang w:val="uk-UA"/>
              </w:rPr>
              <w:t>є громадянином Російської Федерації/Республіки</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Білорусь (крім того, що проживає на території України на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законних підставах); юридичною особою, створеною та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зареєстрованою відповідно до законодавства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юридичною особою,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створеною та зареєстрованою відповідно до законодавства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України, кінцевим бенефіціарним власником, членом або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учасником (акціонером), що має частку в статутному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капіталі 10 і більше відсотків, якої є Російська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Федерація/Республіка Білорусь, громадянин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(крім того, що проживає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території України на законних підставах), або юридичною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особою, створеною та зареєстрованою відповідно до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законодавства Російської Федерації/Республіки Білорусь;</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або пропонує в тендерній пропозиції товари походженням з</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Російської Федерації/Республіки Білорусь (за винятком</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 xml:space="preserve">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 обслуговування товарів,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придбаних до набрання чинності постановою Кабінету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Міністрів України від 12 жовтня 2022 р. № 1178 “Про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затвердження особливостей здійснення публічних</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закупівель товарів, робіт і послуг для замовників,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передбачених Законом України “Про публічні закупівлі”,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період дії правового режиму воєнного стану в Україні та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протягом 90 днів з дня його припинення або скасування”</w:t>
            </w:r>
          </w:p>
          <w:p w:rsidR="00FB6C28" w:rsidRPr="00D729EB" w:rsidRDefault="00D729EB" w:rsidP="00D729EB">
            <w:pPr>
              <w:pStyle w:val="17"/>
              <w:rPr>
                <w:rFonts w:ascii="Times New Roman" w:hAnsi="Times New Roman"/>
                <w:sz w:val="24"/>
                <w:szCs w:val="24"/>
                <w:highlight w:val="white"/>
              </w:rPr>
            </w:pPr>
            <w:r w:rsidRPr="00D729EB">
              <w:rPr>
                <w:rFonts w:ascii="Times New Roman" w:hAnsi="Times New Roman"/>
                <w:sz w:val="24"/>
                <w:szCs w:val="24"/>
              </w:rPr>
              <w:t xml:space="preserve">(Офіційний вісник України, 2022 р., № 84, ст. </w:t>
            </w:r>
            <w:proofErr w:type="gramStart"/>
            <w:r w:rsidRPr="00D729EB">
              <w:rPr>
                <w:rFonts w:ascii="Times New Roman" w:hAnsi="Times New Roman"/>
                <w:sz w:val="24"/>
                <w:szCs w:val="24"/>
              </w:rPr>
              <w:t>5176)*</w:t>
            </w:r>
            <w:proofErr w:type="gramEnd"/>
            <w:r w:rsidRPr="00D729EB">
              <w:rPr>
                <w:rFonts w:ascii="Times New Roman" w:hAnsi="Times New Roman"/>
                <w:sz w:val="24"/>
                <w:szCs w:val="24"/>
              </w:rPr>
              <w:t>;</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729EB" w:rsidRPr="00D729EB" w:rsidRDefault="00FB6C28" w:rsidP="00D729EB">
            <w:pPr>
              <w:pStyle w:val="21"/>
              <w:rPr>
                <w:rFonts w:ascii="Times New Roman" w:hAnsi="Times New Roman" w:cs="Times New Roman"/>
                <w:sz w:val="24"/>
                <w:szCs w:val="24"/>
              </w:rPr>
            </w:pPr>
            <w:r>
              <w:rPr>
                <w:highlight w:val="white"/>
              </w:rPr>
              <w:lastRenderedPageBreak/>
              <w:t xml:space="preserve">- </w:t>
            </w:r>
            <w:r w:rsidR="00D729EB" w:rsidRPr="00D729EB">
              <w:rPr>
                <w:rFonts w:ascii="Times New Roman" w:hAnsi="Times New Roman" w:cs="Times New Roman"/>
                <w:sz w:val="24"/>
                <w:szCs w:val="24"/>
              </w:rPr>
              <w:t>не відповідає умовам технічної специфікації та іншим</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вимогам щодо предмета закупівлі тендерної документації,</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крім невідповідності у інформації та/або документах, що</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може бути усунена учасником процедури закупівлі</w:t>
            </w:r>
          </w:p>
          <w:p w:rsidR="00FB6C28" w:rsidRPr="00D729EB" w:rsidRDefault="00D729EB" w:rsidP="00D729EB">
            <w:pPr>
              <w:pStyle w:val="21"/>
              <w:rPr>
                <w:rFonts w:ascii="Times New Roman" w:hAnsi="Times New Roman" w:cs="Times New Roman"/>
                <w:sz w:val="24"/>
                <w:szCs w:val="24"/>
                <w:highlight w:val="white"/>
              </w:rPr>
            </w:pPr>
            <w:r w:rsidRPr="00D729EB">
              <w:rPr>
                <w:rFonts w:ascii="Times New Roman" w:hAnsi="Times New Roman" w:cs="Times New Roman"/>
                <w:sz w:val="24"/>
                <w:szCs w:val="24"/>
              </w:rPr>
              <w:t>відповідно до пункту 41 цих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D729EB" w:rsidRPr="00D729EB">
              <w:rPr>
                <w:rFonts w:ascii="Times New Roman" w:eastAsia="Times New Roman" w:hAnsi="Times New Roman" w:cs="Times New Roman"/>
                <w:sz w:val="24"/>
                <w:szCs w:val="24"/>
              </w:rPr>
              <w:t>визначен</w:t>
            </w:r>
            <w:r w:rsidR="00D729EB">
              <w:rPr>
                <w:rFonts w:ascii="Times New Roman" w:eastAsia="Times New Roman" w:hAnsi="Times New Roman" w:cs="Times New Roman"/>
                <w:sz w:val="24"/>
                <w:szCs w:val="24"/>
              </w:rPr>
              <w:t>их пунктом 44 цих Особливостей</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14"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5"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6"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7"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18"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 xml:space="preserve">Підтвердженням наміру Переможця процедури закупівлі </w:t>
            </w:r>
            <w:r>
              <w:rPr>
                <w:rFonts w:ascii="Times New Roman" w:hAnsi="Times New Roman" w:cs="Times New Roman"/>
                <w:b/>
                <w:i/>
                <w:iCs/>
                <w:sz w:val="24"/>
                <w:szCs w:val="24"/>
                <w:lang w:val="uk-UA"/>
              </w:rPr>
              <w:lastRenderedPageBreak/>
              <w:t>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108B2">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r w:rsidR="005108B2">
              <w:rPr>
                <w:rFonts w:ascii="Times New Roman" w:eastAsia="Times New Roman" w:hAnsi="Times New Roman" w:cs="Times New Roman"/>
                <w:color w:val="323232"/>
                <w:sz w:val="24"/>
                <w:szCs w:val="24"/>
              </w:rPr>
              <w:t>дев`</w:t>
            </w:r>
            <w:r w:rsidR="005108B2" w:rsidRPr="005108B2">
              <w:rPr>
                <w:rFonts w:ascii="Times New Roman" w:eastAsia="Times New Roman" w:hAnsi="Times New Roman" w:cs="Times New Roman"/>
                <w:color w:val="323232"/>
                <w:sz w:val="24"/>
                <w:szCs w:val="24"/>
              </w:rPr>
              <w:t>ятої</w:t>
            </w:r>
            <w:r>
              <w:rPr>
                <w:rFonts w:ascii="Times New Roman" w:eastAsia="Times New Roman" w:hAnsi="Times New Roman" w:cs="Times New Roman"/>
                <w:color w:val="323232"/>
                <w:sz w:val="24"/>
                <w:szCs w:val="24"/>
              </w:rPr>
              <w:t xml:space="preserve"> статті 41 Закону, та </w:t>
            </w:r>
            <w:r w:rsidR="005108B2">
              <w:rPr>
                <w:rFonts w:ascii="Times New Roman" w:eastAsia="Times New Roman" w:hAnsi="Times New Roman" w:cs="Times New Roman"/>
                <w:color w:val="323232"/>
                <w:sz w:val="24"/>
                <w:szCs w:val="24"/>
              </w:rPr>
              <w:t xml:space="preserve">цих </w:t>
            </w:r>
            <w:r>
              <w:rPr>
                <w:rFonts w:ascii="Times New Roman" w:eastAsia="Times New Roman" w:hAnsi="Times New Roman" w:cs="Times New Roman"/>
                <w:color w:val="323232"/>
                <w:sz w:val="24"/>
                <w:szCs w:val="24"/>
              </w:rPr>
              <w:t>Особливостей.</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Pr="00930F15" w:rsidRDefault="00FB6C28" w:rsidP="00FB6C28">
      <w:pPr>
        <w:tabs>
          <w:tab w:val="left" w:pos="9639"/>
        </w:tabs>
        <w:spacing w:line="240" w:lineRule="auto"/>
        <w:rPr>
          <w:rFonts w:ascii="Times New Roman" w:hAnsi="Times New Roman" w:cs="Times New Roman"/>
          <w:b/>
          <w:color w:val="000000"/>
          <w:lang w:val="ru-RU"/>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bookmarkStart w:id="9" w:name="_GoBack"/>
      <w:bookmarkEnd w:id="9"/>
    </w:p>
    <w:p w:rsidR="00FB6C28" w:rsidRDefault="00FB6C28" w:rsidP="00FB6C28">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374903" w:rsidRDefault="00FB6C28" w:rsidP="004C1A63">
      <w:pPr>
        <w:pStyle w:val="ad"/>
        <w:jc w:val="both"/>
        <w:rPr>
          <w:rFonts w:ascii="Times New Roman" w:hAnsi="Times New Roman"/>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AC54C4" w:rsidRPr="00AC54C4">
        <w:rPr>
          <w:rFonts w:ascii="Times New Roman" w:hAnsi="Times New Roman" w:cs="Times New Roman"/>
          <w:b/>
          <w:sz w:val="24"/>
          <w:szCs w:val="24"/>
        </w:rPr>
        <w:t>31210000-1 - Електрична апаратура для комутування та захисту електричних кіл(автоматичний вимикач ВА55-41)</w:t>
      </w:r>
      <w:r w:rsidR="004C1A63">
        <w:rPr>
          <w:rFonts w:ascii="Times New Roman" w:hAnsi="Times New Roman"/>
          <w:b/>
          <w:sz w:val="24"/>
          <w:szCs w:val="24"/>
        </w:rPr>
        <w:t xml:space="preserve"> </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8"/>
        <w:gridCol w:w="1648"/>
        <w:gridCol w:w="1423"/>
        <w:gridCol w:w="1538"/>
        <w:gridCol w:w="1064"/>
      </w:tblGrid>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648"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4C1A63" w:rsidRPr="004C1A63" w:rsidRDefault="00AC54C4" w:rsidP="00FB6C28">
            <w:pPr>
              <w:pStyle w:val="17"/>
              <w:rPr>
                <w:rFonts w:ascii="Times New Roman" w:hAnsi="Times New Roman"/>
                <w:spacing w:val="-6"/>
                <w:sz w:val="24"/>
                <w:szCs w:val="24"/>
                <w:lang w:val="uk-UA"/>
              </w:rPr>
            </w:pPr>
            <w:r>
              <w:rPr>
                <w:rFonts w:ascii="Times New Roman" w:hAnsi="Times New Roman"/>
                <w:spacing w:val="-6"/>
                <w:sz w:val="24"/>
                <w:szCs w:val="24"/>
                <w:lang w:val="uk-UA"/>
              </w:rPr>
              <w:t>А</w:t>
            </w:r>
            <w:r w:rsidRPr="00AC54C4">
              <w:rPr>
                <w:rFonts w:ascii="Times New Roman" w:hAnsi="Times New Roman"/>
                <w:spacing w:val="-6"/>
                <w:sz w:val="24"/>
                <w:szCs w:val="24"/>
                <w:lang w:val="uk-UA"/>
              </w:rPr>
              <w:t>втоматичний вимикач ВА55-41</w:t>
            </w:r>
          </w:p>
        </w:tc>
        <w:tc>
          <w:tcPr>
            <w:tcW w:w="1648" w:type="dxa"/>
            <w:tcBorders>
              <w:top w:val="single" w:sz="4" w:space="0" w:color="auto"/>
              <w:left w:val="single" w:sz="4" w:space="0" w:color="auto"/>
              <w:bottom w:val="single" w:sz="4" w:space="0" w:color="auto"/>
              <w:right w:val="single" w:sz="4" w:space="0" w:color="auto"/>
            </w:tcBorders>
          </w:tcPr>
          <w:p w:rsidR="004C1A63" w:rsidRPr="004C1A63" w:rsidRDefault="00AC54C4" w:rsidP="00FB6C28">
            <w:pPr>
              <w:pStyle w:val="17"/>
              <w:rPr>
                <w:rFonts w:ascii="Times New Roman" w:hAnsi="Times New Roman"/>
                <w:spacing w:val="-6"/>
                <w:sz w:val="24"/>
                <w:szCs w:val="24"/>
                <w:lang w:val="uk-UA"/>
              </w:rPr>
            </w:pPr>
            <w:r>
              <w:rPr>
                <w:rFonts w:ascii="Times New Roman" w:hAnsi="Times New Roman"/>
                <w:spacing w:val="-6"/>
                <w:sz w:val="24"/>
                <w:szCs w:val="24"/>
                <w:lang w:val="uk-UA"/>
              </w:rPr>
              <w:t xml:space="preserve">         ш</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AC54C4" w:rsidP="00FB6C28">
            <w:pPr>
              <w:pStyle w:val="17"/>
              <w:rPr>
                <w:rFonts w:ascii="Times New Roman" w:hAnsi="Times New Roman"/>
                <w:sz w:val="24"/>
                <w:szCs w:val="24"/>
                <w:lang w:val="uk-UA"/>
              </w:rPr>
            </w:pPr>
            <w:r>
              <w:rPr>
                <w:rFonts w:ascii="Times New Roman" w:hAnsi="Times New Roman"/>
                <w:sz w:val="24"/>
                <w:szCs w:val="24"/>
                <w:lang w:val="uk-UA"/>
              </w:rPr>
              <w:t xml:space="preserve">       1</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735AC" w:rsidRDefault="004C1A63" w:rsidP="00FB6C28">
            <w:pPr>
              <w:pStyle w:val="17"/>
              <w:rPr>
                <w:rFonts w:ascii="Times New Roman" w:hAnsi="Times New Roman"/>
                <w:spacing w:val="-6"/>
                <w:sz w:val="24"/>
                <w:szCs w:val="24"/>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FB6C28" w:rsidRDefault="00AC54C4" w:rsidP="00AC54C4">
      <w:pPr>
        <w:spacing w:line="240" w:lineRule="auto"/>
        <w:rPr>
          <w:rFonts w:ascii="Times New Roman" w:hAnsi="Times New Roman" w:cs="Times New Roman"/>
        </w:rPr>
      </w:pPr>
      <w:r>
        <w:rPr>
          <w:rFonts w:ascii="Times New Roman" w:hAnsi="Times New Roman" w:cs="Times New Roman"/>
          <w:b/>
        </w:rPr>
        <w:lastRenderedPageBreak/>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Default="00FB6C28" w:rsidP="00BC0C06">
            <w:pPr>
              <w:jc w:val="both"/>
              <w:rPr>
                <w:rFonts w:ascii="Times New Roman" w:hAnsi="Times New Roman" w:cs="Times New Roman"/>
                <w:b/>
                <w:i/>
                <w:lang w:val="ru-RU"/>
              </w:rPr>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е</w:t>
            </w:r>
            <w:r w:rsidR="00AC54C4" w:rsidRPr="00AC54C4">
              <w:rPr>
                <w:rFonts w:ascii="Times New Roman" w:hAnsi="Times New Roman" w:cs="Times New Roman"/>
                <w:b/>
                <w:sz w:val="24"/>
                <w:szCs w:val="24"/>
              </w:rPr>
              <w:t>лектричн</w:t>
            </w:r>
            <w:r w:rsidR="00AC54C4">
              <w:rPr>
                <w:rFonts w:ascii="Times New Roman" w:hAnsi="Times New Roman" w:cs="Times New Roman"/>
                <w:b/>
                <w:sz w:val="24"/>
                <w:szCs w:val="24"/>
              </w:rPr>
              <w:t>ої</w:t>
            </w:r>
            <w:r w:rsidR="00AC54C4" w:rsidRPr="00AC54C4">
              <w:rPr>
                <w:rFonts w:ascii="Times New Roman" w:hAnsi="Times New Roman" w:cs="Times New Roman"/>
                <w:b/>
                <w:sz w:val="24"/>
                <w:szCs w:val="24"/>
              </w:rPr>
              <w:t xml:space="preserve"> апаратур</w:t>
            </w:r>
            <w:r w:rsidR="00AC54C4">
              <w:rPr>
                <w:rFonts w:ascii="Times New Roman" w:hAnsi="Times New Roman" w:cs="Times New Roman"/>
                <w:b/>
                <w:sz w:val="24"/>
                <w:szCs w:val="24"/>
              </w:rPr>
              <w:t>и</w:t>
            </w:r>
            <w:r w:rsidR="00AC54C4" w:rsidRPr="00AC54C4">
              <w:rPr>
                <w:rFonts w:ascii="Times New Roman" w:hAnsi="Times New Roman" w:cs="Times New Roman"/>
                <w:b/>
                <w:sz w:val="24"/>
                <w:szCs w:val="24"/>
              </w:rPr>
              <w:t xml:space="preserve"> для комутування та захисту електричних кіл</w:t>
            </w:r>
            <w:r w:rsidR="00E348E2" w:rsidRPr="00300B07">
              <w:rPr>
                <w:rFonts w:ascii="Times New Roman" w:hAnsi="Times New Roman" w:cs="Times New Roman"/>
                <w:b/>
                <w:sz w:val="24"/>
                <w:szCs w:val="24"/>
              </w:rPr>
              <w:t xml:space="preserve"> </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5000" w:type="pct"/>
        <w:tblLook w:val="04A0" w:firstRow="1" w:lastRow="0" w:firstColumn="1" w:lastColumn="0" w:noHBand="0" w:noVBand="1"/>
      </w:tblPr>
      <w:tblGrid>
        <w:gridCol w:w="426"/>
        <w:gridCol w:w="1877"/>
        <w:gridCol w:w="1221"/>
        <w:gridCol w:w="1814"/>
        <w:gridCol w:w="2191"/>
        <w:gridCol w:w="1816"/>
      </w:tblGrid>
      <w:tr w:rsidR="00FB6C28" w:rsidTr="00FB6C28">
        <w:tc>
          <w:tcPr>
            <w:tcW w:w="226"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eastAsia="Times New Roman CYR" w:hAnsi="Times New Roman" w:cs="Times New Roman"/>
              </w:rPr>
              <w:t>№</w:t>
            </w:r>
          </w:p>
        </w:tc>
        <w:tc>
          <w:tcPr>
            <w:tcW w:w="1029"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710" w:type="pct"/>
            <w:tcBorders>
              <w:top w:val="single" w:sz="4" w:space="0" w:color="000000"/>
              <w:left w:val="single" w:sz="4" w:space="0" w:color="000000"/>
              <w:bottom w:val="single" w:sz="4" w:space="0" w:color="000000"/>
              <w:right w:val="nil"/>
            </w:tcBorders>
            <w:vAlign w:val="center"/>
            <w:hideMark/>
          </w:tcPr>
          <w:p w:rsidR="00FB6C28" w:rsidRDefault="00FB6C28"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jc w:val="center"/>
              <w:rPr>
                <w:rFonts w:ascii="Times New Roman" w:hAnsi="Times New Roman" w:cs="Times New Roman"/>
              </w:rPr>
            </w:pPr>
          </w:p>
          <w:p w:rsidR="00FB6C28" w:rsidRDefault="00FB6C28" w:rsidP="00FB6C28">
            <w:pPr>
              <w:jc w:val="center"/>
              <w:rPr>
                <w:rFonts w:ascii="Times New Roman" w:hAnsi="Times New Roman" w:cs="Times New Roman"/>
              </w:rPr>
            </w:pPr>
          </w:p>
          <w:p w:rsidR="00FB6C28" w:rsidRDefault="00FB6C28" w:rsidP="00FB6C28">
            <w:pPr>
              <w:jc w:val="center"/>
              <w:rPr>
                <w:rFonts w:ascii="Times New Roman" w:hAnsi="Times New Roman" w:cs="Times New Roman"/>
              </w:rPr>
            </w:pPr>
            <w:r>
              <w:rPr>
                <w:rFonts w:ascii="Times New Roman" w:hAnsi="Times New Roman" w:cs="Times New Roman"/>
              </w:rPr>
              <w:t>Предмет договору</w:t>
            </w:r>
          </w:p>
        </w:tc>
        <w:tc>
          <w:tcPr>
            <w:tcW w:w="1012" w:type="pct"/>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012" w:type="pct"/>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FB6C28" w:rsidTr="00FB6C28">
        <w:trPr>
          <w:trHeight w:val="84"/>
        </w:trPr>
        <w:tc>
          <w:tcPr>
            <w:tcW w:w="226"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FB6C28" w:rsidRDefault="00FB6C28" w:rsidP="00FB6C28">
            <w:pPr>
              <w:snapToGrid w:val="0"/>
              <w:jc w:val="center"/>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jc w:val="center"/>
              <w:rPr>
                <w:rFonts w:ascii="Times New Roman" w:hAnsi="Times New Roman" w:cs="Times New Roman"/>
              </w:rPr>
            </w:pPr>
          </w:p>
        </w:tc>
      </w:tr>
      <w:tr w:rsidR="00FB6C28" w:rsidTr="00FB6C28">
        <w:tc>
          <w:tcPr>
            <w:tcW w:w="226"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1029"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710" w:type="pct"/>
            <w:tcBorders>
              <w:top w:val="single" w:sz="4" w:space="0" w:color="000000"/>
              <w:left w:val="single" w:sz="4" w:space="0" w:color="000000"/>
              <w:bottom w:val="single" w:sz="4" w:space="0" w:color="000000"/>
              <w:right w:val="nil"/>
            </w:tcBorders>
          </w:tcPr>
          <w:p w:rsidR="00FB6C28" w:rsidRDefault="00FB6C28" w:rsidP="00FB6C28">
            <w:pPr>
              <w:snapToGrid w:val="0"/>
              <w:rPr>
                <w:rFonts w:ascii="Times New Roman" w:hAnsi="Times New Roman" w:cs="Times New Roman"/>
              </w:rPr>
            </w:pPr>
          </w:p>
        </w:tc>
        <w:tc>
          <w:tcPr>
            <w:tcW w:w="1011"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c>
          <w:tcPr>
            <w:tcW w:w="1012" w:type="pct"/>
            <w:tcBorders>
              <w:top w:val="single" w:sz="4" w:space="0" w:color="000000"/>
              <w:left w:val="single" w:sz="4" w:space="0" w:color="000000"/>
              <w:bottom w:val="single" w:sz="4" w:space="0" w:color="000000"/>
              <w:right w:val="single" w:sz="4" w:space="0" w:color="000000"/>
            </w:tcBorders>
          </w:tcPr>
          <w:p w:rsidR="00FB6C28" w:rsidRDefault="00FB6C28"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374903" w:rsidRDefault="00FB6C28" w:rsidP="00E348E2">
      <w:pPr>
        <w:pStyle w:val="ad"/>
        <w:jc w:val="both"/>
        <w:rPr>
          <w:rFonts w:ascii="Times New Roman" w:hAnsi="Times New Roman"/>
          <w:sz w:val="24"/>
          <w:szCs w:val="24"/>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ДК 021:2015 – </w:t>
      </w:r>
      <w:r w:rsidR="00FF779D">
        <w:rPr>
          <w:rFonts w:ascii="Times New Roman" w:hAnsi="Times New Roman"/>
          <w:b/>
          <w:sz w:val="24"/>
          <w:szCs w:val="24"/>
        </w:rPr>
        <w:t xml:space="preserve"> </w:t>
      </w:r>
      <w:r w:rsidR="00C13839" w:rsidRPr="00C13839">
        <w:rPr>
          <w:rFonts w:ascii="Times New Roman" w:hAnsi="Times New Roman"/>
          <w:b/>
          <w:sz w:val="24"/>
          <w:szCs w:val="24"/>
        </w:rPr>
        <w:t>31210000-1 - Електрична апаратура для комутування та захисту електричних кіл(автоматичний вимикач ВА55-41)</w:t>
      </w:r>
      <w:r w:rsidR="00AC54C4">
        <w:rPr>
          <w:rFonts w:ascii="Times New Roman" w:hAnsi="Times New Roman"/>
          <w:b/>
          <w:sz w:val="24"/>
          <w:szCs w:val="24"/>
        </w:rPr>
        <w:t xml:space="preserve"> </w:t>
      </w:r>
      <w:r>
        <w:rPr>
          <w:rFonts w:ascii="Times New Roman" w:hAnsi="Times New Roman" w:cs="Times New Roman"/>
          <w:sz w:val="24"/>
          <w:szCs w:val="24"/>
        </w:rPr>
        <w:t>ознайомились з проєктом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tbl>
      <w:tblPr>
        <w:tblW w:w="9059" w:type="dxa"/>
        <w:tblInd w:w="93" w:type="dxa"/>
        <w:tblLook w:val="00A0" w:firstRow="1" w:lastRow="0" w:firstColumn="1" w:lastColumn="0" w:noHBand="0" w:noVBand="0"/>
      </w:tblPr>
      <w:tblGrid>
        <w:gridCol w:w="9059"/>
      </w:tblGrid>
      <w:tr w:rsidR="00FF779D" w:rsidRPr="000C7E11" w:rsidTr="00C13839">
        <w:trPr>
          <w:trHeight w:val="278"/>
        </w:trPr>
        <w:tc>
          <w:tcPr>
            <w:tcW w:w="9059" w:type="dxa"/>
            <w:tcBorders>
              <w:top w:val="nil"/>
              <w:left w:val="nil"/>
              <w:bottom w:val="nil"/>
              <w:right w:val="nil"/>
            </w:tcBorders>
            <w:noWrap/>
            <w:vAlign w:val="bottom"/>
          </w:tcPr>
          <w:p w:rsidR="00FF779D" w:rsidRPr="00AC3621" w:rsidRDefault="00FF779D" w:rsidP="0009749D">
            <w:pPr>
              <w:spacing w:after="0" w:line="240" w:lineRule="auto"/>
              <w:ind w:firstLine="567"/>
              <w:jc w:val="center"/>
              <w:rPr>
                <w:rFonts w:ascii="Times New Roman" w:hAnsi="Times New Roman"/>
                <w:b/>
                <w:color w:val="000000"/>
                <w:sz w:val="28"/>
                <w:szCs w:val="28"/>
              </w:rPr>
            </w:pPr>
          </w:p>
        </w:tc>
      </w:tr>
    </w:tbl>
    <w:p w:rsidR="00FB6C28" w:rsidRPr="000B181E" w:rsidRDefault="000B181E" w:rsidP="000B181E">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lastRenderedPageBreak/>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0C" w:rsidRDefault="0091400C" w:rsidP="00C13839">
      <w:pPr>
        <w:spacing w:after="0" w:line="240" w:lineRule="auto"/>
      </w:pPr>
      <w:r>
        <w:separator/>
      </w:r>
    </w:p>
  </w:endnote>
  <w:endnote w:type="continuationSeparator" w:id="0">
    <w:p w:rsidR="0091400C" w:rsidRDefault="0091400C"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0C" w:rsidRDefault="0091400C" w:rsidP="00C13839">
      <w:pPr>
        <w:spacing w:after="0" w:line="240" w:lineRule="auto"/>
      </w:pPr>
      <w:r>
        <w:separator/>
      </w:r>
    </w:p>
  </w:footnote>
  <w:footnote w:type="continuationSeparator" w:id="0">
    <w:p w:rsidR="0091400C" w:rsidRDefault="0091400C" w:rsidP="00C1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27862"/>
    <w:rsid w:val="000743D5"/>
    <w:rsid w:val="0009749D"/>
    <w:rsid w:val="000B181E"/>
    <w:rsid w:val="001172F6"/>
    <w:rsid w:val="001663C3"/>
    <w:rsid w:val="00176AF8"/>
    <w:rsid w:val="001810A1"/>
    <w:rsid w:val="001846C6"/>
    <w:rsid w:val="00186F82"/>
    <w:rsid w:val="00195FAB"/>
    <w:rsid w:val="001C0EA9"/>
    <w:rsid w:val="001C21F6"/>
    <w:rsid w:val="001E538F"/>
    <w:rsid w:val="001F63DB"/>
    <w:rsid w:val="00207C0E"/>
    <w:rsid w:val="0024206D"/>
    <w:rsid w:val="002C4FC6"/>
    <w:rsid w:val="003462C1"/>
    <w:rsid w:val="0035539B"/>
    <w:rsid w:val="00374903"/>
    <w:rsid w:val="00376541"/>
    <w:rsid w:val="00397F95"/>
    <w:rsid w:val="003B7149"/>
    <w:rsid w:val="003D500F"/>
    <w:rsid w:val="003E1EED"/>
    <w:rsid w:val="00404D99"/>
    <w:rsid w:val="004702C9"/>
    <w:rsid w:val="00482934"/>
    <w:rsid w:val="00494B9E"/>
    <w:rsid w:val="00497664"/>
    <w:rsid w:val="004B5EF7"/>
    <w:rsid w:val="004C1A63"/>
    <w:rsid w:val="004E509A"/>
    <w:rsid w:val="005108B2"/>
    <w:rsid w:val="00542A8C"/>
    <w:rsid w:val="00593364"/>
    <w:rsid w:val="005C3B08"/>
    <w:rsid w:val="00600FB8"/>
    <w:rsid w:val="0060356A"/>
    <w:rsid w:val="00650039"/>
    <w:rsid w:val="00703934"/>
    <w:rsid w:val="00716207"/>
    <w:rsid w:val="00724255"/>
    <w:rsid w:val="007B16CD"/>
    <w:rsid w:val="008352D3"/>
    <w:rsid w:val="008437DB"/>
    <w:rsid w:val="0084462F"/>
    <w:rsid w:val="008B32E7"/>
    <w:rsid w:val="009113B8"/>
    <w:rsid w:val="0091400C"/>
    <w:rsid w:val="00921493"/>
    <w:rsid w:val="00946B0D"/>
    <w:rsid w:val="00954DBF"/>
    <w:rsid w:val="009646B7"/>
    <w:rsid w:val="00977062"/>
    <w:rsid w:val="009836DF"/>
    <w:rsid w:val="009C516C"/>
    <w:rsid w:val="00A12516"/>
    <w:rsid w:val="00A540A8"/>
    <w:rsid w:val="00AC54C4"/>
    <w:rsid w:val="00B07B26"/>
    <w:rsid w:val="00B26638"/>
    <w:rsid w:val="00BC0C06"/>
    <w:rsid w:val="00BF6E69"/>
    <w:rsid w:val="00C13839"/>
    <w:rsid w:val="00C3706E"/>
    <w:rsid w:val="00C558C9"/>
    <w:rsid w:val="00CD23F1"/>
    <w:rsid w:val="00CD3C0A"/>
    <w:rsid w:val="00D1249D"/>
    <w:rsid w:val="00D729EB"/>
    <w:rsid w:val="00D75AC8"/>
    <w:rsid w:val="00D7778F"/>
    <w:rsid w:val="00DA5CE6"/>
    <w:rsid w:val="00DC29F6"/>
    <w:rsid w:val="00DF65FF"/>
    <w:rsid w:val="00E348E2"/>
    <w:rsid w:val="00E74930"/>
    <w:rsid w:val="00ED2D92"/>
    <w:rsid w:val="00EE535E"/>
    <w:rsid w:val="00EF104A"/>
    <w:rsid w:val="00F126F8"/>
    <w:rsid w:val="00F13678"/>
    <w:rsid w:val="00F37D9C"/>
    <w:rsid w:val="00F46968"/>
    <w:rsid w:val="00F47497"/>
    <w:rsid w:val="00FB6C28"/>
    <w:rsid w:val="00FD0D9C"/>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0D6D"/>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07A1-0C11-4034-880F-B4150830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42</Pages>
  <Words>58557</Words>
  <Characters>33378</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30</cp:revision>
  <dcterms:created xsi:type="dcterms:W3CDTF">2023-03-07T08:12:00Z</dcterms:created>
  <dcterms:modified xsi:type="dcterms:W3CDTF">2023-03-15T13:03:00Z</dcterms:modified>
</cp:coreProperties>
</file>