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DE" w:rsidRPr="00325854" w:rsidRDefault="001C67DE" w:rsidP="001C67D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325854">
        <w:rPr>
          <w:rFonts w:ascii="Times New Roman" w:hAnsi="Times New Roman"/>
          <w:b/>
          <w:bCs/>
          <w:sz w:val="24"/>
          <w:szCs w:val="24"/>
        </w:rPr>
        <w:t>ДОДАТОК №2</w:t>
      </w:r>
    </w:p>
    <w:p w:rsidR="001C67DE" w:rsidRPr="00325854" w:rsidRDefault="001C67DE" w:rsidP="001C67D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325854">
        <w:rPr>
          <w:rFonts w:ascii="Times New Roman" w:hAnsi="Times New Roman"/>
          <w:b/>
          <w:bCs/>
          <w:sz w:val="24"/>
          <w:szCs w:val="24"/>
        </w:rPr>
        <w:t>до Тендерної документації</w:t>
      </w:r>
    </w:p>
    <w:p w:rsidR="005C5BF5" w:rsidRPr="00325854" w:rsidRDefault="001C67DE" w:rsidP="001C67D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4"/>
        </w:rPr>
      </w:pPr>
      <w:r w:rsidRPr="00325854">
        <w:rPr>
          <w:rFonts w:ascii="Times New Roman" w:hAnsi="Times New Roman"/>
          <w:b/>
          <w:bCs/>
          <w:sz w:val="28"/>
          <w:szCs w:val="24"/>
        </w:rPr>
        <w:t>Технічна специфікація</w:t>
      </w:r>
    </w:p>
    <w:p w:rsidR="001C67DE" w:rsidRPr="00325854" w:rsidRDefault="001C67DE" w:rsidP="001C67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C5BF5" w:rsidRPr="00325854" w:rsidRDefault="00A90BD4" w:rsidP="00951B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25854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5C5BF5" w:rsidRPr="00325854" w:rsidRDefault="005C5BF5" w:rsidP="00951B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4"/>
          <w:szCs w:val="4"/>
        </w:rPr>
      </w:pPr>
    </w:p>
    <w:p w:rsidR="005C5BF5" w:rsidRPr="00325854" w:rsidRDefault="00A90BD4" w:rsidP="00951B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25854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5C5BF5" w:rsidRPr="00325854" w:rsidRDefault="005C5BF5" w:rsidP="00951B5A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Style w:val="af2"/>
        <w:tblW w:w="9923" w:type="dxa"/>
        <w:tblInd w:w="-152" w:type="dxa"/>
        <w:tblLayout w:type="fixed"/>
        <w:tblLook w:val="0600"/>
      </w:tblPr>
      <w:tblGrid>
        <w:gridCol w:w="2095"/>
        <w:gridCol w:w="7828"/>
      </w:tblGrid>
      <w:tr w:rsidR="00325854" w:rsidRPr="00325854" w:rsidTr="00D70F5E">
        <w:trPr>
          <w:trHeight w:val="674"/>
        </w:trPr>
        <w:tc>
          <w:tcPr>
            <w:tcW w:w="2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BF5" w:rsidRPr="00325854" w:rsidRDefault="00A90BD4" w:rsidP="00951B5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</w:pPr>
            <w:r w:rsidRPr="0032585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Назва предмета закупівлі</w:t>
            </w:r>
            <w:r w:rsidR="00D70F5E" w:rsidRPr="0032585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:</w:t>
            </w:r>
          </w:p>
        </w:tc>
        <w:tc>
          <w:tcPr>
            <w:tcW w:w="7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BF5" w:rsidRPr="00730F4D" w:rsidRDefault="004A0211" w:rsidP="00730F4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2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Капітальний ремонт частини даху Комунального підприємства Ківерцівська центральна лікарня Ківерцівської міської ради (головного корпусу з поліклінікою) на вулиці Філатова, 6 в м.Ківерці Волинської області</w:t>
            </w:r>
          </w:p>
        </w:tc>
      </w:tr>
      <w:tr w:rsidR="00325854" w:rsidRPr="00325854" w:rsidTr="00D70F5E">
        <w:tc>
          <w:tcPr>
            <w:tcW w:w="2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B5A" w:rsidRPr="00325854" w:rsidRDefault="00951B5A" w:rsidP="00951B5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258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Код ДК 021:2015</w:t>
            </w:r>
            <w:r w:rsidR="00D70F5E" w:rsidRPr="003258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</w:tc>
        <w:tc>
          <w:tcPr>
            <w:tcW w:w="7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B5A" w:rsidRPr="00325854" w:rsidRDefault="00730F4D" w:rsidP="00951B5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0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45450000-6 — Інші завершальні будівельні роботи</w:t>
            </w:r>
          </w:p>
        </w:tc>
      </w:tr>
    </w:tbl>
    <w:p w:rsidR="005C5BF5" w:rsidRPr="00325854" w:rsidRDefault="005C5BF5" w:rsidP="00951B5A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04340" w:rsidRPr="00325854" w:rsidRDefault="00F04340" w:rsidP="00951B5A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85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E5361" w:rsidRPr="00325854">
        <w:rPr>
          <w:rFonts w:ascii="Times New Roman" w:hAnsi="Times New Roman" w:cs="Times New Roman"/>
          <w:sz w:val="24"/>
          <w:szCs w:val="24"/>
        </w:rPr>
        <w:t>Умови виконання робіт:</w:t>
      </w:r>
      <w:r w:rsidR="00AE5361" w:rsidRPr="00325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361" w:rsidRPr="00325854">
        <w:rPr>
          <w:rFonts w:ascii="Times New Roman" w:hAnsi="Times New Roman" w:cs="Times New Roman"/>
          <w:sz w:val="24"/>
          <w:szCs w:val="24"/>
        </w:rPr>
        <w:t>нормальні,</w:t>
      </w:r>
      <w:r w:rsidR="00AE5361" w:rsidRPr="00325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361" w:rsidRPr="00325854">
        <w:rPr>
          <w:rFonts w:ascii="Times New Roman" w:hAnsi="Times New Roman" w:cs="Times New Roman"/>
          <w:spacing w:val="-3"/>
          <w:sz w:val="24"/>
          <w:szCs w:val="24"/>
        </w:rPr>
        <w:t>в будівлі, що експлуатується.</w:t>
      </w:r>
    </w:p>
    <w:p w:rsidR="00F04340" w:rsidRPr="00325854" w:rsidRDefault="00F04340" w:rsidP="00951B5A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854">
        <w:rPr>
          <w:rFonts w:ascii="Times New Roman" w:eastAsia="Times New Roman" w:hAnsi="Times New Roman" w:cs="Times New Roman"/>
          <w:sz w:val="24"/>
          <w:szCs w:val="24"/>
        </w:rPr>
        <w:t xml:space="preserve">2. Обладнання та матеріали, які будуть використовуватись Учасником для </w:t>
      </w:r>
      <w:r w:rsidR="008510CD" w:rsidRPr="00325854">
        <w:rPr>
          <w:rFonts w:ascii="Times New Roman" w:eastAsia="Times New Roman" w:hAnsi="Times New Roman" w:cs="Times New Roman"/>
          <w:sz w:val="24"/>
          <w:szCs w:val="24"/>
        </w:rPr>
        <w:t>виконання робіт</w:t>
      </w:r>
      <w:r w:rsidR="00D70F5E" w:rsidRPr="00325854">
        <w:rPr>
          <w:rFonts w:ascii="Times New Roman" w:eastAsia="Times New Roman" w:hAnsi="Times New Roman" w:cs="Times New Roman"/>
          <w:sz w:val="24"/>
          <w:szCs w:val="24"/>
        </w:rPr>
        <w:t>/</w:t>
      </w:r>
      <w:r w:rsidR="008510CD" w:rsidRPr="00325854">
        <w:rPr>
          <w:rFonts w:ascii="Times New Roman" w:eastAsia="Times New Roman" w:hAnsi="Times New Roman" w:cs="Times New Roman"/>
          <w:sz w:val="24"/>
          <w:szCs w:val="24"/>
        </w:rPr>
        <w:t>надання послуг</w:t>
      </w:r>
      <w:r w:rsidRPr="00325854">
        <w:rPr>
          <w:rFonts w:ascii="Times New Roman" w:eastAsia="Times New Roman" w:hAnsi="Times New Roman" w:cs="Times New Roman"/>
          <w:sz w:val="24"/>
          <w:szCs w:val="24"/>
        </w:rPr>
        <w:t xml:space="preserve"> по цій закупівлі, повинно бути новим. Гарантійний термін на обладнання повинен бути не менше 12 календарних місяців. </w:t>
      </w:r>
    </w:p>
    <w:p w:rsidR="00B414B8" w:rsidRPr="00325854" w:rsidRDefault="00B414B8" w:rsidP="00951B5A">
      <w:pPr>
        <w:pStyle w:val="af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25854">
        <w:rPr>
          <w:rFonts w:ascii="Times New Roman" w:hAnsi="Times New Roman"/>
          <w:sz w:val="24"/>
          <w:szCs w:val="24"/>
          <w:lang w:val="uk-UA"/>
        </w:rPr>
        <w:t>Вс</w:t>
      </w:r>
      <w:r w:rsidR="000B0930" w:rsidRPr="00325854">
        <w:rPr>
          <w:rFonts w:ascii="Times New Roman" w:hAnsi="Times New Roman"/>
          <w:sz w:val="24"/>
          <w:szCs w:val="24"/>
          <w:lang w:val="uk-UA"/>
        </w:rPr>
        <w:t>е</w:t>
      </w:r>
      <w:r w:rsidRPr="00325854">
        <w:rPr>
          <w:rFonts w:ascii="Times New Roman" w:hAnsi="Times New Roman"/>
          <w:sz w:val="24"/>
          <w:szCs w:val="24"/>
          <w:lang w:val="uk-UA"/>
        </w:rPr>
        <w:t xml:space="preserve"> обладнання та матеріали повинні бути якісними та дозволеними для використання в Україні і мати сертифікати якості, висновки, якість повинна відповідати діючим нормам і стандартам для даного виду </w:t>
      </w:r>
      <w:r w:rsidR="004362C3" w:rsidRPr="00325854">
        <w:rPr>
          <w:rFonts w:ascii="Times New Roman" w:hAnsi="Times New Roman"/>
          <w:sz w:val="24"/>
          <w:szCs w:val="24"/>
          <w:lang w:val="uk-UA"/>
        </w:rPr>
        <w:t xml:space="preserve">обладнання та </w:t>
      </w:r>
      <w:r w:rsidRPr="00325854">
        <w:rPr>
          <w:rFonts w:ascii="Times New Roman" w:hAnsi="Times New Roman"/>
          <w:sz w:val="24"/>
          <w:szCs w:val="24"/>
          <w:lang w:val="uk-UA"/>
        </w:rPr>
        <w:t xml:space="preserve">матеріалів. Відповідальність за якість </w:t>
      </w:r>
      <w:r w:rsidR="004362C3" w:rsidRPr="00325854">
        <w:rPr>
          <w:rFonts w:ascii="Times New Roman" w:hAnsi="Times New Roman"/>
          <w:sz w:val="24"/>
          <w:szCs w:val="24"/>
          <w:lang w:val="uk-UA"/>
        </w:rPr>
        <w:t xml:space="preserve">обладнання та </w:t>
      </w:r>
      <w:r w:rsidRPr="00325854">
        <w:rPr>
          <w:rFonts w:ascii="Times New Roman" w:hAnsi="Times New Roman"/>
          <w:sz w:val="24"/>
          <w:szCs w:val="24"/>
          <w:lang w:val="uk-UA"/>
        </w:rPr>
        <w:t xml:space="preserve">матеріалів несе </w:t>
      </w:r>
      <w:r w:rsidR="000B0930" w:rsidRPr="00325854">
        <w:rPr>
          <w:rFonts w:ascii="Times New Roman" w:hAnsi="Times New Roman"/>
          <w:sz w:val="24"/>
          <w:szCs w:val="24"/>
          <w:lang w:val="uk-UA"/>
        </w:rPr>
        <w:t>Учасник</w:t>
      </w:r>
      <w:r w:rsidRPr="00325854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F04340" w:rsidRPr="00325854" w:rsidRDefault="00F04340" w:rsidP="00951B5A">
      <w:pPr>
        <w:pStyle w:val="afa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25854">
        <w:rPr>
          <w:rFonts w:ascii="Times New Roman" w:eastAsia="Times New Roman" w:hAnsi="Times New Roman"/>
          <w:sz w:val="24"/>
          <w:szCs w:val="24"/>
          <w:lang w:val="uk-UA"/>
        </w:rPr>
        <w:t>3. У</w:t>
      </w:r>
      <w:r w:rsidR="00D70F5E" w:rsidRPr="00325854">
        <w:rPr>
          <w:rFonts w:ascii="Times New Roman" w:eastAsia="Times New Roman" w:hAnsi="Times New Roman"/>
          <w:sz w:val="24"/>
          <w:szCs w:val="24"/>
          <w:lang w:val="uk-UA"/>
        </w:rPr>
        <w:t>часник визначає ціну на роботи/</w:t>
      </w:r>
      <w:r w:rsidRPr="00325854">
        <w:rPr>
          <w:rFonts w:ascii="Times New Roman" w:eastAsia="Times New Roman" w:hAnsi="Times New Roman"/>
          <w:sz w:val="24"/>
          <w:szCs w:val="24"/>
          <w:lang w:val="uk-UA"/>
        </w:rPr>
        <w:t xml:space="preserve">послуги, які він пропонує виконати за Договором по даній закупівлі,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561D51" w:rsidRPr="00325854" w:rsidRDefault="00561D51" w:rsidP="00951B5A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854">
        <w:rPr>
          <w:rFonts w:ascii="Times New Roman" w:eastAsia="Times New Roman" w:hAnsi="Times New Roman" w:cs="Times New Roman"/>
          <w:sz w:val="24"/>
          <w:szCs w:val="24"/>
        </w:rPr>
        <w:t xml:space="preserve">4. Технічні, якісні характеристики предмета закупівлі повинні передбачати необхідність застосування заходів із захисту довкілля. </w:t>
      </w:r>
    </w:p>
    <w:p w:rsidR="00561D51" w:rsidRPr="00E572BC" w:rsidRDefault="00561D51" w:rsidP="00951B5A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2BC">
        <w:rPr>
          <w:rFonts w:ascii="Times New Roman" w:eastAsia="Times New Roman" w:hAnsi="Times New Roman" w:cs="Times New Roman"/>
          <w:sz w:val="24"/>
          <w:szCs w:val="24"/>
        </w:rPr>
        <w:t xml:space="preserve">5. Термін </w:t>
      </w:r>
      <w:r w:rsidR="00D70F5E" w:rsidRPr="00E572BC">
        <w:rPr>
          <w:rFonts w:ascii="Times New Roman" w:eastAsia="Times New Roman" w:hAnsi="Times New Roman" w:cs="Times New Roman"/>
          <w:sz w:val="24"/>
          <w:szCs w:val="24"/>
        </w:rPr>
        <w:t>виконання робіт/</w:t>
      </w:r>
      <w:r w:rsidRPr="00E572BC">
        <w:rPr>
          <w:rFonts w:ascii="Times New Roman" w:eastAsia="Times New Roman" w:hAnsi="Times New Roman" w:cs="Times New Roman"/>
          <w:sz w:val="24"/>
          <w:szCs w:val="24"/>
        </w:rPr>
        <w:t>надання послуг</w:t>
      </w:r>
      <w:r w:rsidR="007C6C26" w:rsidRPr="00E572BC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E57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5BA6" w:rsidRPr="00E572BC">
        <w:rPr>
          <w:rFonts w:ascii="Times New Roman" w:eastAsia="Times New Roman" w:hAnsi="Times New Roman" w:cs="Times New Roman"/>
          <w:sz w:val="24"/>
          <w:szCs w:val="24"/>
        </w:rPr>
        <w:t xml:space="preserve">з моменту укладання договору </w:t>
      </w:r>
      <w:r w:rsidR="007C6C26" w:rsidRPr="00E572BC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675A74" w:rsidRPr="00E572BC">
        <w:rPr>
          <w:rFonts w:ascii="Times New Roman" w:eastAsia="Times New Roman" w:hAnsi="Times New Roman" w:cs="Times New Roman"/>
          <w:b/>
          <w:sz w:val="24"/>
          <w:szCs w:val="24"/>
        </w:rPr>
        <w:t>31 грудня 202</w:t>
      </w:r>
      <w:r w:rsidR="0078444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7C6C26" w:rsidRPr="00E572BC">
        <w:rPr>
          <w:rFonts w:ascii="Times New Roman" w:eastAsia="Times New Roman" w:hAnsi="Times New Roman" w:cs="Times New Roman"/>
          <w:b/>
          <w:sz w:val="24"/>
          <w:szCs w:val="24"/>
        </w:rPr>
        <w:t xml:space="preserve"> року</w:t>
      </w:r>
      <w:r w:rsidR="00F45BA6" w:rsidRPr="00E572BC">
        <w:rPr>
          <w:rFonts w:ascii="Times New Roman" w:eastAsia="Times New Roman" w:hAnsi="Times New Roman" w:cs="Times New Roman"/>
          <w:sz w:val="24"/>
          <w:szCs w:val="24"/>
        </w:rPr>
        <w:t xml:space="preserve"> або до повного виконання сторонами договірних зобов’язань</w:t>
      </w:r>
      <w:r w:rsidR="007C6C26" w:rsidRPr="00E572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1771" w:rsidRPr="00325854" w:rsidRDefault="00561D51" w:rsidP="00951B5A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6C5">
        <w:rPr>
          <w:rFonts w:ascii="Times New Roman" w:eastAsia="Times New Roman" w:hAnsi="Times New Roman" w:cs="Times New Roman"/>
          <w:sz w:val="24"/>
          <w:szCs w:val="24"/>
        </w:rPr>
        <w:t>6</w:t>
      </w:r>
      <w:r w:rsidR="00F04340" w:rsidRPr="00EC76C5">
        <w:rPr>
          <w:rFonts w:ascii="Times New Roman" w:eastAsia="Times New Roman" w:hAnsi="Times New Roman" w:cs="Times New Roman"/>
          <w:sz w:val="24"/>
          <w:szCs w:val="24"/>
        </w:rPr>
        <w:t>. Для підтвер</w:t>
      </w:r>
      <w:r w:rsidR="00D70F5E" w:rsidRPr="00EC76C5">
        <w:rPr>
          <w:rFonts w:ascii="Times New Roman" w:eastAsia="Times New Roman" w:hAnsi="Times New Roman" w:cs="Times New Roman"/>
          <w:sz w:val="24"/>
          <w:szCs w:val="24"/>
        </w:rPr>
        <w:t>дження відповідності пропозиції</w:t>
      </w:r>
      <w:r w:rsidR="00F04340" w:rsidRPr="00EC76C5">
        <w:rPr>
          <w:rFonts w:ascii="Times New Roman" w:eastAsia="Times New Roman" w:hAnsi="Times New Roman" w:cs="Times New Roman"/>
          <w:sz w:val="24"/>
          <w:szCs w:val="24"/>
        </w:rPr>
        <w:t xml:space="preserve"> учасника технічним, якісним</w:t>
      </w:r>
      <w:r w:rsidR="00D70F5E" w:rsidRPr="00EC7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0F5E" w:rsidRPr="00325854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F04340" w:rsidRPr="00325854">
        <w:rPr>
          <w:rFonts w:ascii="Times New Roman" w:eastAsia="Times New Roman" w:hAnsi="Times New Roman" w:cs="Times New Roman"/>
          <w:sz w:val="24"/>
          <w:szCs w:val="24"/>
        </w:rPr>
        <w:t xml:space="preserve"> кількісним </w:t>
      </w:r>
      <w:r w:rsidR="00D70F5E" w:rsidRPr="00325854">
        <w:rPr>
          <w:rFonts w:ascii="Times New Roman" w:eastAsia="Times New Roman" w:hAnsi="Times New Roman" w:cs="Times New Roman"/>
          <w:sz w:val="24"/>
          <w:szCs w:val="24"/>
        </w:rPr>
        <w:t>характеристикам до предмета закупівлі</w:t>
      </w:r>
      <w:r w:rsidR="00F04340" w:rsidRPr="00325854">
        <w:rPr>
          <w:rFonts w:ascii="Times New Roman" w:eastAsia="Times New Roman" w:hAnsi="Times New Roman" w:cs="Times New Roman"/>
          <w:sz w:val="24"/>
          <w:szCs w:val="24"/>
        </w:rPr>
        <w:t xml:space="preserve">, встановленим замовником, учасник </w:t>
      </w:r>
      <w:r w:rsidR="001C144D" w:rsidRPr="00325854">
        <w:rPr>
          <w:rFonts w:ascii="Times New Roman" w:eastAsia="Times New Roman" w:hAnsi="Times New Roman" w:cs="Times New Roman"/>
          <w:sz w:val="24"/>
          <w:szCs w:val="24"/>
        </w:rPr>
        <w:t xml:space="preserve">до кінцевого строку подання пропозицій </w:t>
      </w:r>
      <w:r w:rsidR="00F04340" w:rsidRPr="00325854">
        <w:rPr>
          <w:rFonts w:ascii="Times New Roman" w:eastAsia="Times New Roman" w:hAnsi="Times New Roman" w:cs="Times New Roman"/>
          <w:sz w:val="24"/>
          <w:szCs w:val="24"/>
        </w:rPr>
        <w:t xml:space="preserve">повинен надати </w:t>
      </w:r>
      <w:r w:rsidR="009530F1" w:rsidRPr="00325854">
        <w:rPr>
          <w:rFonts w:ascii="Times New Roman" w:eastAsia="Times New Roman" w:hAnsi="Times New Roman" w:cs="Times New Roman"/>
          <w:sz w:val="24"/>
          <w:szCs w:val="24"/>
        </w:rPr>
        <w:t xml:space="preserve">протокол узгодження договірної ціни та </w:t>
      </w:r>
      <w:r w:rsidR="005E1771" w:rsidRPr="00325854">
        <w:rPr>
          <w:rFonts w:ascii="Times New Roman" w:eastAsia="Times New Roman" w:hAnsi="Times New Roman" w:cs="Times New Roman"/>
          <w:sz w:val="24"/>
          <w:szCs w:val="24"/>
        </w:rPr>
        <w:t>підтверджуючі розрахунки</w:t>
      </w:r>
      <w:r w:rsidR="001C144D" w:rsidRPr="0032585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E1771" w:rsidRPr="0032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44D" w:rsidRPr="00325854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своєї початкової ціни </w:t>
      </w:r>
      <w:r w:rsidR="005E1771" w:rsidRPr="00325854">
        <w:rPr>
          <w:rFonts w:ascii="Times New Roman" w:eastAsia="Times New Roman" w:hAnsi="Times New Roman" w:cs="Times New Roman"/>
          <w:sz w:val="24"/>
          <w:szCs w:val="24"/>
        </w:rPr>
        <w:t>за статтями витрат договірної ціни</w:t>
      </w:r>
      <w:r w:rsidR="001C144D" w:rsidRPr="00325854">
        <w:rPr>
          <w:rFonts w:ascii="Times New Roman" w:eastAsia="Times New Roman" w:hAnsi="Times New Roman" w:cs="Times New Roman"/>
          <w:sz w:val="24"/>
          <w:szCs w:val="24"/>
        </w:rPr>
        <w:t xml:space="preserve"> (у форматі pdf/jpg та ims/imd та ibs/idc)</w:t>
      </w:r>
      <w:r w:rsidR="000926FF" w:rsidRPr="0032585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E1771" w:rsidRPr="00325854" w:rsidRDefault="005E1771" w:rsidP="00951B5A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854">
        <w:rPr>
          <w:rFonts w:ascii="Times New Roman" w:eastAsia="Times New Roman" w:hAnsi="Times New Roman" w:cs="Times New Roman"/>
          <w:sz w:val="24"/>
          <w:szCs w:val="24"/>
        </w:rPr>
        <w:t>ціна пропозиції (динамічна договірна ціна);</w:t>
      </w:r>
    </w:p>
    <w:p w:rsidR="005E1771" w:rsidRPr="00325854" w:rsidRDefault="005E1771" w:rsidP="00951B5A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854">
        <w:rPr>
          <w:rFonts w:ascii="Times New Roman" w:eastAsia="Times New Roman" w:hAnsi="Times New Roman" w:cs="Times New Roman"/>
          <w:sz w:val="24"/>
          <w:szCs w:val="24"/>
        </w:rPr>
        <w:t>пояснювальна записка;</w:t>
      </w:r>
    </w:p>
    <w:p w:rsidR="005E1771" w:rsidRPr="00325854" w:rsidRDefault="005E1771" w:rsidP="00951B5A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854">
        <w:rPr>
          <w:rFonts w:ascii="Times New Roman" w:eastAsia="Times New Roman" w:hAnsi="Times New Roman" w:cs="Times New Roman"/>
          <w:sz w:val="24"/>
          <w:szCs w:val="24"/>
        </w:rPr>
        <w:t>локальні кошториси;</w:t>
      </w:r>
    </w:p>
    <w:p w:rsidR="005E1771" w:rsidRPr="00325854" w:rsidRDefault="005E1771" w:rsidP="00951B5A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854">
        <w:rPr>
          <w:rFonts w:ascii="Times New Roman" w:eastAsia="Times New Roman" w:hAnsi="Times New Roman" w:cs="Times New Roman"/>
          <w:sz w:val="24"/>
          <w:szCs w:val="24"/>
        </w:rPr>
        <w:t>розрахунок заробітної плати, який повинен бути виконаний згідно з Порядком розрахунку розміру кошторисної заробітної плати, який враховується при визначенні вартості будівництва об’єктів, затвердженим наказом Мінрегіону від 20.10.2016 № 281 та зареєстрованим у Мінюсті 11.11.2016 № 1469/29599 (зі змінами);</w:t>
      </w:r>
    </w:p>
    <w:p w:rsidR="005E1771" w:rsidRPr="00325854" w:rsidRDefault="005E1771" w:rsidP="00951B5A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854">
        <w:rPr>
          <w:rFonts w:ascii="Times New Roman" w:eastAsia="Times New Roman" w:hAnsi="Times New Roman" w:cs="Times New Roman"/>
          <w:sz w:val="24"/>
          <w:szCs w:val="24"/>
        </w:rPr>
        <w:t>розрахунок вартості матеріальних ресурсів (відомість ресурсів);</w:t>
      </w:r>
    </w:p>
    <w:p w:rsidR="005E1771" w:rsidRPr="00325854" w:rsidRDefault="005E1771" w:rsidP="00951B5A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854">
        <w:rPr>
          <w:rFonts w:ascii="Times New Roman" w:eastAsia="Times New Roman" w:hAnsi="Times New Roman" w:cs="Times New Roman"/>
          <w:sz w:val="24"/>
          <w:szCs w:val="24"/>
        </w:rPr>
        <w:t>розрахунок вартості експлуатації будівельних машин і механізмів;</w:t>
      </w:r>
    </w:p>
    <w:p w:rsidR="005E1771" w:rsidRPr="00325854" w:rsidRDefault="005E1771" w:rsidP="00951B5A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854">
        <w:rPr>
          <w:rFonts w:ascii="Times New Roman" w:eastAsia="Times New Roman" w:hAnsi="Times New Roman" w:cs="Times New Roman"/>
          <w:sz w:val="24"/>
          <w:szCs w:val="24"/>
        </w:rPr>
        <w:t>розрахунок загальновиробничих та адміністративних витрат (виходячи з структури будівельної організації);</w:t>
      </w:r>
    </w:p>
    <w:p w:rsidR="005E1771" w:rsidRPr="00325854" w:rsidRDefault="005E1771" w:rsidP="00951B5A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854">
        <w:rPr>
          <w:rFonts w:ascii="Times New Roman" w:eastAsia="Times New Roman" w:hAnsi="Times New Roman" w:cs="Times New Roman"/>
          <w:sz w:val="24"/>
          <w:szCs w:val="24"/>
        </w:rPr>
        <w:t xml:space="preserve">розрахунок коштів на покриття адміністративних витрат будівельно-монтажних організацій; </w:t>
      </w:r>
    </w:p>
    <w:p w:rsidR="005E1771" w:rsidRPr="00325854" w:rsidRDefault="005E1771" w:rsidP="00951B5A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854">
        <w:rPr>
          <w:rFonts w:ascii="Times New Roman" w:eastAsia="Times New Roman" w:hAnsi="Times New Roman" w:cs="Times New Roman"/>
          <w:sz w:val="24"/>
          <w:szCs w:val="24"/>
        </w:rPr>
        <w:t>розрахунок додаткових витрат, пов’язаних з інфляційними процесами;</w:t>
      </w:r>
    </w:p>
    <w:p w:rsidR="005E1771" w:rsidRPr="00325854" w:rsidRDefault="005E1771" w:rsidP="00951B5A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854">
        <w:rPr>
          <w:rFonts w:ascii="Times New Roman" w:eastAsia="Times New Roman" w:hAnsi="Times New Roman" w:cs="Times New Roman"/>
          <w:sz w:val="24"/>
          <w:szCs w:val="24"/>
        </w:rPr>
        <w:t>розрахунок прибутку;</w:t>
      </w:r>
    </w:p>
    <w:p w:rsidR="005E1771" w:rsidRPr="00325854" w:rsidRDefault="005E1771" w:rsidP="009530F1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854">
        <w:rPr>
          <w:rFonts w:ascii="Times New Roman" w:eastAsia="Times New Roman" w:hAnsi="Times New Roman" w:cs="Times New Roman"/>
          <w:sz w:val="24"/>
          <w:szCs w:val="24"/>
        </w:rPr>
        <w:t>розрахунок у програмному комплексі АВК/ІВК або іншому, що взаємодіє з</w:t>
      </w:r>
      <w:r w:rsidR="001C144D" w:rsidRPr="00325854">
        <w:rPr>
          <w:rFonts w:ascii="Times New Roman" w:eastAsia="Times New Roman" w:hAnsi="Times New Roman" w:cs="Times New Roman"/>
          <w:sz w:val="24"/>
          <w:szCs w:val="24"/>
        </w:rPr>
        <w:t xml:space="preserve"> АВК-5 в частині передачі даних.</w:t>
      </w:r>
    </w:p>
    <w:p w:rsidR="00D35344" w:rsidRPr="009946D7" w:rsidRDefault="00D35344" w:rsidP="00951B5A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8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А також для підтвердження відповідності пропозиції  учасника технічним, якісним, кількісним та іншим вимогам до предмета закупівлі надати ліцензію на виконання робіт </w:t>
      </w:r>
      <w:r w:rsidRPr="009946D7">
        <w:rPr>
          <w:rFonts w:ascii="Times New Roman" w:eastAsia="Times New Roman" w:hAnsi="Times New Roman" w:cs="Times New Roman"/>
          <w:sz w:val="24"/>
          <w:szCs w:val="24"/>
        </w:rPr>
        <w:t>зазначених в технічній специфікації</w:t>
      </w:r>
      <w:r w:rsidR="00951B5A" w:rsidRPr="009946D7">
        <w:rPr>
          <w:rFonts w:ascii="Times New Roman" w:eastAsia="Times New Roman" w:hAnsi="Times New Roman" w:cs="Times New Roman"/>
          <w:sz w:val="24"/>
          <w:szCs w:val="24"/>
        </w:rPr>
        <w:t xml:space="preserve"> з додатком(ками) до неї</w:t>
      </w:r>
      <w:r w:rsidR="00EE4AD1" w:rsidRPr="009946D7">
        <w:rPr>
          <w:rFonts w:ascii="Times New Roman" w:eastAsia="Times New Roman" w:hAnsi="Times New Roman" w:cs="Times New Roman"/>
          <w:sz w:val="24"/>
          <w:szCs w:val="24"/>
        </w:rPr>
        <w:t xml:space="preserve"> (Клас наслідків (відповідальності) об’єкта – СС</w:t>
      </w:r>
      <w:r w:rsidR="004A0211">
        <w:rPr>
          <w:rFonts w:ascii="Times New Roman" w:eastAsia="Times New Roman" w:hAnsi="Times New Roman" w:cs="Times New Roman"/>
          <w:sz w:val="24"/>
          <w:szCs w:val="24"/>
        </w:rPr>
        <w:t>2</w:t>
      </w:r>
      <w:r w:rsidR="00EE4AD1" w:rsidRPr="009946D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946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52B1" w:rsidRDefault="000052B1" w:rsidP="00951B5A">
      <w:pPr>
        <w:pStyle w:val="20"/>
        <w:spacing w:after="0" w:line="240" w:lineRule="auto"/>
        <w:ind w:firstLine="709"/>
        <w:contextualSpacing/>
        <w:jc w:val="both"/>
      </w:pPr>
      <w:r w:rsidRPr="00710C3A">
        <w:t>В складі пропозиції повинен надати копії дозвільних документів на виконання робіт підвищеної небезпеки відповідно до переліку, затвердженого Постановою КМУ від 26.10.2011 року № 1107 «Про затвердження порядку видачі дозволів на виконання робіт підвищеної небезпеки та на експлуатацію (застосування) машин механізмів, устаткування підвищеної небезпеки» зі змінами, що передбачені технічним завданням (</w:t>
      </w:r>
      <w:r w:rsidR="00710C3A" w:rsidRPr="00710C3A">
        <w:t>Роботи, що виконуються на висоті понад 1,3 метра, Вантажно-розвантажувальні роботи за допомогою машин і механізмів; зведення, монтаж, демонтаж будинків, споруд, а також зміцнення їх аварійних частин, зварювальні роботи, земляні роботи, що виконуються на глибині понад 2 метри або в зоні розташування підземних комунікацій чи під водою</w:t>
      </w:r>
      <w:r w:rsidRPr="00710C3A">
        <w:t>): дозвіл на виконання робіт підвищеної небезпеки та/або декларація відповідності матеріально-технічної бази вимогам законодавства з питань охорони праці</w:t>
      </w:r>
      <w:r w:rsidR="00B16C15" w:rsidRPr="00710C3A">
        <w:t>.</w:t>
      </w:r>
    </w:p>
    <w:p w:rsidR="00C30577" w:rsidRPr="00C9632B" w:rsidRDefault="00C30577" w:rsidP="00C30577">
      <w:pPr>
        <w:pStyle w:val="20"/>
        <w:spacing w:after="0" w:line="240" w:lineRule="auto"/>
        <w:ind w:firstLine="709"/>
        <w:contextualSpacing/>
        <w:jc w:val="both"/>
      </w:pPr>
      <w:r w:rsidRPr="00C9632B">
        <w:t>Даний дозвіл/декларація повинен бути виданий на ім’я учасника та бути дійсним на момент його подання.</w:t>
      </w:r>
    </w:p>
    <w:p w:rsidR="00C30577" w:rsidRPr="00710C3A" w:rsidRDefault="00C30577" w:rsidP="00C30577">
      <w:pPr>
        <w:pStyle w:val="20"/>
        <w:spacing w:after="0" w:line="240" w:lineRule="auto"/>
        <w:ind w:firstLine="709"/>
        <w:contextualSpacing/>
        <w:jc w:val="both"/>
      </w:pPr>
      <w:r w:rsidRPr="00C9632B">
        <w:t>- оригінал або завірену копію декларації відповідності матеріально-технічної бази суб’єкта господарювання вимогам законодавства з питань пожежної безпеки, зареєстровану відповідно до чинного законодавства.</w:t>
      </w:r>
    </w:p>
    <w:p w:rsidR="00140E79" w:rsidRPr="00325854" w:rsidRDefault="00140E79" w:rsidP="00140E79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854">
        <w:rPr>
          <w:rFonts w:ascii="Times New Roman" w:eastAsia="Times New Roman" w:hAnsi="Times New Roman" w:cs="Times New Roman"/>
          <w:sz w:val="24"/>
          <w:szCs w:val="24"/>
        </w:rPr>
        <w:t xml:space="preserve">З метою забезпечення проведення розрахунків договірної для участі у тендері, Учаснику надається можливість оглянути об'єкт, де передбачається виконання робіт згідно тендерної документації. За результатами відвідування складається акт обстеження об’єкта, який підписується уповноваженими особами Замовника та Учасника і подається останнім у складі пропозиції. Витрати на відвідування об’єкту Учасник несе за власні кошти. Місце </w:t>
      </w:r>
      <w:r w:rsidRPr="00A04ED9">
        <w:rPr>
          <w:rFonts w:ascii="Times New Roman" w:eastAsia="Times New Roman" w:hAnsi="Times New Roman" w:cs="Times New Roman"/>
          <w:sz w:val="24"/>
          <w:szCs w:val="24"/>
        </w:rPr>
        <w:t xml:space="preserve">знаходження об’єкту: </w:t>
      </w:r>
      <w:r w:rsidR="004A0211" w:rsidRPr="004A0211">
        <w:rPr>
          <w:rFonts w:ascii="Times New Roman" w:eastAsia="Times New Roman" w:hAnsi="Times New Roman" w:cs="Times New Roman"/>
          <w:sz w:val="24"/>
          <w:szCs w:val="24"/>
        </w:rPr>
        <w:t>вул. Філатова, 6, м. Ківерці, Волинська область, 45201</w:t>
      </w:r>
      <w:r w:rsidRPr="00A04ED9">
        <w:rPr>
          <w:rFonts w:ascii="Times New Roman" w:eastAsia="Times New Roman" w:hAnsi="Times New Roman" w:cs="Times New Roman"/>
          <w:sz w:val="24"/>
          <w:szCs w:val="24"/>
        </w:rPr>
        <w:t xml:space="preserve">. В акті обстеження має бути посилання на </w:t>
      </w:r>
      <w:r w:rsidRPr="00325854">
        <w:rPr>
          <w:rFonts w:ascii="Times New Roman" w:eastAsia="Times New Roman" w:hAnsi="Times New Roman" w:cs="Times New Roman"/>
          <w:sz w:val="24"/>
          <w:szCs w:val="24"/>
        </w:rPr>
        <w:t>ідентифікатор закупівлі.</w:t>
      </w:r>
    </w:p>
    <w:p w:rsidR="00401989" w:rsidRPr="007A0E02" w:rsidRDefault="00401989" w:rsidP="0040198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E02">
        <w:rPr>
          <w:rFonts w:ascii="Times New Roman" w:eastAsia="Times New Roman" w:hAnsi="Times New Roman" w:cs="Times New Roman"/>
          <w:sz w:val="24"/>
          <w:szCs w:val="24"/>
        </w:rPr>
        <w:t>Учасник повинен підтвердити наявність в нього програмного забезпечення АВК-5 (або аналог). На підтвердження наявності сертифікованого програмного забезпечення учасник має надати ліцензію на програмний комплекс в якому здійснюються відповідні розрахунки виконання робіт/надання послуг та ліцензійний договір на використання Учасником такого програмного забезпечення.</w:t>
      </w:r>
    </w:p>
    <w:p w:rsidR="00401989" w:rsidRPr="007A0E02" w:rsidRDefault="00401989" w:rsidP="00536EA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E02">
        <w:rPr>
          <w:rFonts w:ascii="Times New Roman" w:eastAsia="Times New Roman" w:hAnsi="Times New Roman" w:cs="Times New Roman"/>
          <w:sz w:val="24"/>
          <w:szCs w:val="24"/>
        </w:rPr>
        <w:t xml:space="preserve">На підтвердження відповідності тендерної пропозиції технічним, якісним характеристикам учасник повинен надати в складі пропозиції сертифікат ISO 9001:2015 </w:t>
      </w:r>
      <w:r w:rsidR="00555B83" w:rsidRPr="00555B83">
        <w:rPr>
          <w:rFonts w:ascii="Times New Roman" w:eastAsia="Times New Roman" w:hAnsi="Times New Roman" w:cs="Times New Roman"/>
          <w:sz w:val="24"/>
          <w:szCs w:val="24"/>
        </w:rPr>
        <w:t>(ISO 9001:2015, IDT)</w:t>
      </w:r>
      <w:r w:rsidRPr="007A0E02">
        <w:rPr>
          <w:rFonts w:ascii="Times New Roman" w:eastAsia="Times New Roman" w:hAnsi="Times New Roman" w:cs="Times New Roman"/>
          <w:sz w:val="24"/>
          <w:szCs w:val="24"/>
        </w:rPr>
        <w:t xml:space="preserve"> «Системи управління якістю. Вимоги», що засвідчує використання учасником системи управління якості, який виданий учаснику відповідним сертифікованим центром</w:t>
      </w:r>
      <w:r w:rsidR="00555B83">
        <w:rPr>
          <w:rFonts w:ascii="Times New Roman" w:eastAsia="Times New Roman" w:hAnsi="Times New Roman" w:cs="Times New Roman"/>
          <w:sz w:val="24"/>
          <w:szCs w:val="24"/>
        </w:rPr>
        <w:t xml:space="preserve">, що охоплює </w:t>
      </w:r>
      <w:r w:rsidR="00555B83" w:rsidRPr="00555B83">
        <w:rPr>
          <w:rFonts w:ascii="Times New Roman" w:eastAsia="Times New Roman" w:hAnsi="Times New Roman" w:cs="Times New Roman"/>
          <w:sz w:val="24"/>
          <w:szCs w:val="24"/>
        </w:rPr>
        <w:t>наступні сфери сертифікації: будівельні роботи, інші будівельно-монтажні роботи</w:t>
      </w:r>
      <w:r w:rsidRPr="007A0E02">
        <w:rPr>
          <w:rFonts w:ascii="Times New Roman" w:eastAsia="Times New Roman" w:hAnsi="Times New Roman" w:cs="Times New Roman"/>
          <w:sz w:val="24"/>
          <w:szCs w:val="24"/>
        </w:rPr>
        <w:t xml:space="preserve">; сертифікат відповідності системи екологічного управління вимогам міжнародного стандарту </w:t>
      </w:r>
      <w:r w:rsidR="00536EAD" w:rsidRPr="00536EAD">
        <w:rPr>
          <w:rFonts w:ascii="Times New Roman" w:eastAsia="Times New Roman" w:hAnsi="Times New Roman" w:cs="Times New Roman"/>
          <w:sz w:val="24"/>
          <w:szCs w:val="24"/>
        </w:rPr>
        <w:t>ДСТУ ISO 14001:2015 «Системи екологічного управління. Вимоги та настанови щодо застосування»</w:t>
      </w:r>
      <w:r w:rsidR="00555B83" w:rsidRPr="00555B83">
        <w:t xml:space="preserve"> </w:t>
      </w:r>
      <w:r w:rsidR="00555B83" w:rsidRPr="00555B83">
        <w:rPr>
          <w:rFonts w:ascii="Times New Roman" w:eastAsia="Times New Roman" w:hAnsi="Times New Roman" w:cs="Times New Roman"/>
          <w:sz w:val="24"/>
          <w:szCs w:val="24"/>
        </w:rPr>
        <w:t>(ISO 14001:2015, IDT)</w:t>
      </w:r>
      <w:r w:rsidRPr="007A0E02">
        <w:rPr>
          <w:rFonts w:ascii="Times New Roman" w:eastAsia="Times New Roman" w:hAnsi="Times New Roman" w:cs="Times New Roman"/>
          <w:sz w:val="24"/>
          <w:szCs w:val="24"/>
        </w:rPr>
        <w:t>, який виданий учаснику відповідним сертифікованим центром</w:t>
      </w:r>
      <w:r w:rsidR="00536EAD">
        <w:rPr>
          <w:rFonts w:ascii="Times New Roman" w:eastAsia="Times New Roman" w:hAnsi="Times New Roman" w:cs="Times New Roman"/>
          <w:sz w:val="24"/>
          <w:szCs w:val="24"/>
        </w:rPr>
        <w:t xml:space="preserve">, що охоплює </w:t>
      </w:r>
      <w:r w:rsidR="00536EAD" w:rsidRPr="00555B83">
        <w:rPr>
          <w:rFonts w:ascii="Times New Roman" w:eastAsia="Times New Roman" w:hAnsi="Times New Roman" w:cs="Times New Roman"/>
          <w:sz w:val="24"/>
          <w:szCs w:val="24"/>
        </w:rPr>
        <w:t>наступні сфери сертифікації: будівельні роботи, інші будівельно-монтажні роботи</w:t>
      </w:r>
      <w:r w:rsidRPr="007A0E02">
        <w:rPr>
          <w:rFonts w:ascii="Times New Roman" w:eastAsia="Times New Roman" w:hAnsi="Times New Roman" w:cs="Times New Roman"/>
          <w:sz w:val="24"/>
          <w:szCs w:val="24"/>
        </w:rPr>
        <w:t xml:space="preserve">; сертифікат  ДСТУ ISO 45001:2019, виданого учаснику, що засвідчує використання ним системи менеджменту охорони здоров’я та </w:t>
      </w:r>
      <w:r w:rsidRPr="006600B8">
        <w:rPr>
          <w:rFonts w:ascii="Times New Roman" w:eastAsia="Times New Roman" w:hAnsi="Times New Roman" w:cs="Times New Roman"/>
          <w:sz w:val="24"/>
          <w:szCs w:val="24"/>
        </w:rPr>
        <w:t>безпекою праці стосовно</w:t>
      </w:r>
      <w:r w:rsidR="00536EAD" w:rsidRPr="00536EAD">
        <w:t xml:space="preserve"> </w:t>
      </w:r>
      <w:r w:rsidR="00536EAD" w:rsidRPr="00536EAD">
        <w:rPr>
          <w:rFonts w:ascii="Times New Roman" w:eastAsia="Times New Roman" w:hAnsi="Times New Roman" w:cs="Times New Roman"/>
          <w:sz w:val="24"/>
          <w:szCs w:val="24"/>
        </w:rPr>
        <w:t>наступн</w:t>
      </w:r>
      <w:r w:rsidR="00536EAD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536EAD" w:rsidRPr="00536EAD">
        <w:rPr>
          <w:rFonts w:ascii="Times New Roman" w:eastAsia="Times New Roman" w:hAnsi="Times New Roman" w:cs="Times New Roman"/>
          <w:sz w:val="24"/>
          <w:szCs w:val="24"/>
        </w:rPr>
        <w:t xml:space="preserve"> сфер сертифікації: будівельні роботи, інші будівельно-монтажні роботи</w:t>
      </w:r>
      <w:r w:rsidRPr="006600B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A0E02">
        <w:rPr>
          <w:rFonts w:ascii="Times New Roman" w:eastAsia="Times New Roman" w:hAnsi="Times New Roman" w:cs="Times New Roman"/>
          <w:sz w:val="24"/>
          <w:szCs w:val="24"/>
        </w:rPr>
        <w:t xml:space="preserve"> сертифікат на систему інжиніринг пожежної безпеки, який виданий учаснику відповідним сертифікованим центром та посвідчує, що учасник здійснює господарську діяльність згідно з чинними нормативними документами і відповідає вимогам ДСТУ ISO 23932:2018 (ISO 23932:2009, IDT) «Інжиніринг пожежної безпеки. Загальні принципи»; сертифікат  ДСТУ ISO 37001, що засвідчує використання учасником систему управління щодо протидії корупції, які видані Учаснику та чинні </w:t>
      </w:r>
      <w:r w:rsidR="00EB2132">
        <w:rPr>
          <w:rFonts w:ascii="Times New Roman" w:eastAsia="Times New Roman" w:hAnsi="Times New Roman" w:cs="Times New Roman"/>
          <w:sz w:val="24"/>
          <w:szCs w:val="24"/>
        </w:rPr>
        <w:t>станом на дату подання тендерної пропозиції</w:t>
      </w:r>
      <w:r w:rsidRPr="007A0E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577" w:rsidRPr="00325854" w:rsidRDefault="00C30577" w:rsidP="00AF096C">
      <w:pPr>
        <w:pStyle w:val="20"/>
        <w:spacing w:after="0" w:line="240" w:lineRule="auto"/>
        <w:ind w:firstLine="709"/>
        <w:contextualSpacing/>
        <w:jc w:val="both"/>
      </w:pPr>
      <w:r w:rsidRPr="00C9632B">
        <w:t>Учасники повинні підтвердити спроможність збирання, перевезення та утилізації небезпечних відходів, що утворюються в процесі будівництва, шляхом надання копії відповідної ліцензії виданої Міністерством екології та природних ресурсів України, у випадку залучення для цього сторонніх осіб на договірних чи інших засадах, надається копія відповідного договору з додавання копії вищезазначеної ліцензії.</w:t>
      </w:r>
    </w:p>
    <w:p w:rsidR="005E1771" w:rsidRPr="00325854" w:rsidRDefault="005E1771" w:rsidP="00AF096C">
      <w:pPr>
        <w:pStyle w:val="20"/>
        <w:spacing w:after="0" w:line="240" w:lineRule="auto"/>
        <w:ind w:firstLine="709"/>
        <w:contextualSpacing/>
        <w:jc w:val="both"/>
      </w:pPr>
      <w:r w:rsidRPr="00325854">
        <w:lastRenderedPageBreak/>
        <w:t>Ціна тендерної пропозиції повинна враховувати усі податки, збори, обов’язкові платежі, що сплачуються або мають бути сплачені стосовно предмету закупівлі. Ціна тендерної пропозиції</w:t>
      </w:r>
      <w:r w:rsidR="00F62CBC" w:rsidRPr="00325854">
        <w:t xml:space="preserve"> (договірна ціна)</w:t>
      </w:r>
      <w:r w:rsidRPr="00325854">
        <w:t xml:space="preserve"> повинна бути сформована</w:t>
      </w:r>
      <w:r w:rsidR="00B162A9" w:rsidRPr="00325854">
        <w:t xml:space="preserve"> (розрахована)</w:t>
      </w:r>
      <w:r w:rsidRPr="00325854">
        <w:t xml:space="preserve"> </w:t>
      </w:r>
      <w:r w:rsidR="00F62CBC" w:rsidRPr="00325854">
        <w:t>відповідно до чинних кошторисних норм України «Настанова з визначення вартості будівництва» та «Настанова з визначення вартості проектних, науково-проектних, вишукувальних робіт та експертизи проектної документації на будівництво» затверджені наказом Мінрегіону  від 01.11.2021 № 281 зі змінами та доповненнями</w:t>
      </w:r>
      <w:r w:rsidRPr="00325854">
        <w:t>. При роз</w:t>
      </w:r>
      <w:r w:rsidR="001C144D" w:rsidRPr="00325854">
        <w:t>рахунку ціни</w:t>
      </w:r>
      <w:r w:rsidRPr="00325854">
        <w:t xml:space="preserve"> враховується ціна пр</w:t>
      </w:r>
      <w:r w:rsidR="004514F4" w:rsidRPr="00325854">
        <w:t>едмету закупівлі відповідно до цієї Тендерної документації</w:t>
      </w:r>
      <w:r w:rsidRPr="00325854">
        <w:t xml:space="preserve"> та всі витрати, пов’язані з виконанням зобов’язань учасника закупівлі по виконанню договору (ПДВ, прямі витрати, адміністративні та загальновиробничі витрати</w:t>
      </w:r>
      <w:r w:rsidR="001C144D" w:rsidRPr="00325854">
        <w:t xml:space="preserve"> та інше</w:t>
      </w:r>
      <w:r w:rsidRPr="00325854">
        <w:t>), а також прибуток, який учасник планує одержати при виконанні договору</w:t>
      </w:r>
      <w:r w:rsidR="00D043C0" w:rsidRPr="00325854">
        <w:t>.</w:t>
      </w:r>
    </w:p>
    <w:p w:rsidR="008414DD" w:rsidRPr="00325854" w:rsidRDefault="008414DD" w:rsidP="008414DD">
      <w:pPr>
        <w:spacing w:after="0" w:line="240" w:lineRule="auto"/>
        <w:ind w:firstLine="125"/>
        <w:contextualSpacing/>
        <w:rPr>
          <w:rFonts w:ascii="Times New Roman" w:hAnsi="Times New Roman"/>
          <w:i/>
          <w:iCs/>
          <w:sz w:val="24"/>
          <w:szCs w:val="24"/>
        </w:rPr>
      </w:pPr>
      <w:r w:rsidRPr="00325854">
        <w:rPr>
          <w:rFonts w:ascii="Times New Roman" w:hAnsi="Times New Roman"/>
          <w:i/>
          <w:iCs/>
          <w:sz w:val="24"/>
          <w:szCs w:val="24"/>
        </w:rPr>
        <w:t>Примітки:</w:t>
      </w:r>
    </w:p>
    <w:p w:rsidR="008414DD" w:rsidRPr="00325854" w:rsidRDefault="008414DD" w:rsidP="008414DD">
      <w:pPr>
        <w:spacing w:after="0" w:line="240" w:lineRule="auto"/>
        <w:ind w:firstLine="12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2585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25854">
        <w:rPr>
          <w:rFonts w:ascii="Times New Roman" w:hAnsi="Times New Roman"/>
          <w:i/>
          <w:sz w:val="24"/>
          <w:szCs w:val="24"/>
        </w:rPr>
        <w:t>- у разі, якщо законодавством не передбачено надання дозвільних документів на виконання даного виду робіт/послуг учасник надає лист-пояснення в довільній формі, за власноручним підписом уповноваженої особи учасника, в якому зазначає підстави ненадання вищезазначених документів.</w:t>
      </w:r>
    </w:p>
    <w:p w:rsidR="008414DD" w:rsidRPr="00325854" w:rsidRDefault="008414DD" w:rsidP="008414DD">
      <w:pPr>
        <w:spacing w:after="0" w:line="240" w:lineRule="auto"/>
        <w:ind w:firstLine="12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25854">
        <w:rPr>
          <w:rFonts w:ascii="Times New Roman" w:hAnsi="Times New Roman"/>
          <w:i/>
          <w:sz w:val="24"/>
          <w:szCs w:val="24"/>
        </w:rPr>
        <w:t>- у разі, якщо законодавством не передбачено надання дозвільних документів на експлуатацію машин, механізмів, устаткування підвищеної небезпеки, які будуть використовуватись учасником при наданні послуг учасник надає лист-пояснення в довільній формі, за власноручним підписом уповноваженої особи учасника, в якому зазначає підстави ненадання вищезазначених документів.</w:t>
      </w:r>
    </w:p>
    <w:p w:rsidR="008414DD" w:rsidRPr="00325854" w:rsidRDefault="008414DD" w:rsidP="00AF096C">
      <w:pPr>
        <w:pStyle w:val="20"/>
        <w:spacing w:after="0" w:line="240" w:lineRule="auto"/>
        <w:ind w:firstLine="709"/>
        <w:contextualSpacing/>
        <w:jc w:val="both"/>
      </w:pPr>
    </w:p>
    <w:p w:rsidR="00F04340" w:rsidRPr="00325854" w:rsidRDefault="00FA19AF" w:rsidP="00951B5A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854">
        <w:rPr>
          <w:rFonts w:ascii="Times New Roman" w:eastAsia="Times New Roman" w:hAnsi="Times New Roman" w:cs="Times New Roman"/>
          <w:sz w:val="24"/>
          <w:szCs w:val="24"/>
        </w:rPr>
        <w:t>7</w:t>
      </w:r>
      <w:r w:rsidR="00F04340" w:rsidRPr="00325854">
        <w:rPr>
          <w:rFonts w:ascii="Times New Roman" w:eastAsia="Times New Roman" w:hAnsi="Times New Roman" w:cs="Times New Roman"/>
          <w:sz w:val="24"/>
          <w:szCs w:val="24"/>
        </w:rPr>
        <w:t>.  Об’єм</w:t>
      </w:r>
      <w:r w:rsidR="00B61CCF" w:rsidRPr="0032585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04340" w:rsidRPr="00325854">
        <w:rPr>
          <w:rFonts w:ascii="Times New Roman" w:eastAsia="Times New Roman" w:hAnsi="Times New Roman" w:cs="Times New Roman"/>
          <w:sz w:val="24"/>
          <w:szCs w:val="24"/>
        </w:rPr>
        <w:t xml:space="preserve"> робіт</w:t>
      </w:r>
      <w:r w:rsidR="00CF7820" w:rsidRPr="00325854">
        <w:rPr>
          <w:rFonts w:ascii="Times New Roman" w:eastAsia="Times New Roman" w:hAnsi="Times New Roman" w:cs="Times New Roman"/>
          <w:sz w:val="24"/>
          <w:szCs w:val="24"/>
        </w:rPr>
        <w:t>, матеріалів та обладнання</w:t>
      </w:r>
      <w:r w:rsidR="00F04340" w:rsidRPr="0032585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06DF6" w:rsidRPr="00325854" w:rsidRDefault="00606DF6" w:rsidP="00606DF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854">
        <w:rPr>
          <w:rFonts w:ascii="Times New Roman" w:eastAsia="Times New Roman" w:hAnsi="Times New Roman" w:cs="Times New Roman"/>
          <w:b/>
          <w:sz w:val="24"/>
          <w:szCs w:val="24"/>
        </w:rPr>
        <w:t>Відомість обсягів робіт</w:t>
      </w:r>
    </w:p>
    <w:tbl>
      <w:tblPr>
        <w:tblW w:w="10345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80"/>
        <w:gridCol w:w="430"/>
        <w:gridCol w:w="57"/>
        <w:gridCol w:w="80"/>
        <w:gridCol w:w="5250"/>
        <w:gridCol w:w="57"/>
        <w:gridCol w:w="80"/>
        <w:gridCol w:w="1281"/>
        <w:gridCol w:w="57"/>
        <w:gridCol w:w="80"/>
        <w:gridCol w:w="1281"/>
        <w:gridCol w:w="57"/>
        <w:gridCol w:w="80"/>
        <w:gridCol w:w="1281"/>
        <w:gridCol w:w="57"/>
        <w:gridCol w:w="80"/>
      </w:tblGrid>
      <w:tr w:rsidR="00597561" w:rsidTr="00CD38B6">
        <w:trPr>
          <w:gridBefore w:val="1"/>
          <w:gridAfter w:val="1"/>
          <w:wBefore w:w="57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та витрат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597561" w:rsidTr="00CD38B6">
        <w:trPr>
          <w:gridBefore w:val="1"/>
          <w:gridAfter w:val="1"/>
          <w:wBefore w:w="57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Локальний кошторис 02-01-01 на Загальнобудівельні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роботи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Before w:val="1"/>
          <w:gridAfter w:val="1"/>
          <w:wBefore w:w="57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Before w:val="1"/>
          <w:gridAfter w:val="1"/>
          <w:wBefore w:w="57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1. Демонтажні роботи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Before w:val="1"/>
          <w:gridAfter w:val="1"/>
          <w:wBefore w:w="57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Before w:val="1"/>
          <w:gridAfter w:val="1"/>
          <w:wBefore w:w="57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покриття покрівель з хвилястих і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напівхвилястих азбестоцементних листів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880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Before w:val="1"/>
          <w:gridAfter w:val="1"/>
          <w:wBefore w:w="57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лат [решетування] з дощок з прозорами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880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Before w:val="1"/>
          <w:gridAfter w:val="1"/>
          <w:wBefore w:w="57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металевого протипожежного люка в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перекритті горища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Before w:val="1"/>
          <w:gridAfter w:val="1"/>
          <w:wBefore w:w="57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Очищення горища від сміття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685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Before w:val="1"/>
          <w:gridAfter w:val="1"/>
          <w:wBefore w:w="57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Before w:val="1"/>
          <w:gridAfter w:val="1"/>
          <w:wBefore w:w="57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сміття до 5 км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Before w:val="1"/>
          <w:gridAfter w:val="1"/>
          <w:wBefore w:w="57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2. Покрівля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Before w:val="1"/>
          <w:gridAfter w:val="1"/>
          <w:wBefore w:w="57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Before w:val="1"/>
          <w:gridAfter w:val="1"/>
          <w:wBefore w:w="57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і розбирання зовнішніх інвентарних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риштувань трубчастих висотою до 16 м для інших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оздоблювальних робіт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 вп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Before w:val="1"/>
          <w:gridAfter w:val="1"/>
          <w:wBefore w:w="57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контрлат і лат з прозорами iз брускiв пiд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покрiвлю з металопрофілю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880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Before w:val="1"/>
          <w:gridAfter w:val="1"/>
          <w:wBefore w:w="57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елементів каркаса з брусів (кобилки)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1,21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Before w:val="1"/>
          <w:gridAfter w:val="1"/>
          <w:wBefore w:w="57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вітрової дошки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154,3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Before w:val="1"/>
          <w:gridAfter w:val="1"/>
          <w:wBefore w:w="57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Підшивка карнизiв дошками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154,3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Before w:val="1"/>
          <w:gridAfter w:val="1"/>
          <w:wBefore w:w="57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Фарбування вітрової дошки і дощок підшивки даху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Before w:val="1"/>
          <w:gridAfter w:val="1"/>
          <w:wBefore w:w="57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захисного шару - підкладки з плівки по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всій площині покрівлі (гідроізоляція)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Before w:val="1"/>
          <w:gridAfter w:val="1"/>
          <w:wBefore w:w="57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Плівка гідро-, пароізоляційна (покрівля)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1034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Before w:val="1"/>
          <w:gridAfter w:val="1"/>
          <w:wBefore w:w="57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покриття покрівлі з металопрофілю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(профнастилу) ТП-35о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Before w:val="1"/>
          <w:gridAfter w:val="1"/>
          <w:wBefore w:w="57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Металопрофіль ТП-35о (профнастил)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1034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Before w:val="1"/>
          <w:gridAfter w:val="1"/>
          <w:wBefore w:w="57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Снігозатримувач (2м)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шт.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Before w:val="1"/>
          <w:gridAfter w:val="1"/>
          <w:wBefore w:w="57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Саморіз покрівельний зі свердлом по металу з шайбою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8032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Before w:val="1"/>
          <w:gridAfter w:val="1"/>
          <w:wBefore w:w="57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Конькова планка (гребінь)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Before w:val="1"/>
          <w:gridAfter w:val="1"/>
          <w:wBefore w:w="57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Захисний ущільнювач під коньок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Before w:val="1"/>
          <w:gridAfter w:val="1"/>
          <w:wBefore w:w="57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3. Горище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Before w:val="1"/>
          <w:gridAfter w:val="1"/>
          <w:wBefore w:w="57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Before w:val="1"/>
          <w:gridAfter w:val="1"/>
          <w:wBefore w:w="57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Нарощування стін існуючих цегляних вентиляційних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каналів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Before w:val="1"/>
          <w:gridAfter w:val="1"/>
          <w:wBefore w:w="57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Iзоляцiя плоских поверхонь плитами мiнераловатними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(утеплення стінок вентканалів в межах горища плитами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мiнераловатними товщ. 50мм)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Before w:val="1"/>
          <w:gridAfter w:val="1"/>
          <w:wBefore w:w="57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Облицювання вентканалів по утеплювачу профлистом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ТП-8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Before w:val="1"/>
          <w:gridAfter w:val="1"/>
          <w:wBefore w:w="57" w:type="dxa"/>
          <w:wAfter w:w="80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захисту примикання вентканалів до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покриття покрівлі оцинкованим листом (оцинкований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лист 460х1мм)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захисного шару - підкладки з плівки по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всій площині горищного перекриття (пароізоляція)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Плівка гідро-, пароізоляційна (покрівля)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770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Утеплення горищного перекриття плитами iз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мiнеральної вати товщиною 250мм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685,3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захисного шару - підкладки з плівки по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всій площині горищного перекриття (гідроізоляція)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685,3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Плівка гідро-, пароізоляційна (покрівля)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754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Укладання ходового настилу шириною 750 мм із дощок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товщиною 40 мм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люків герметичних (монтаж металевого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протипожежного люка)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4. Огородження покрівлі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Виготовлення огородження покрівлі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0,85214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Сталь штабова (смуга), 40х5мм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0,1733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Гарячекатана арматурна сталь гладка, клас А-1, діаметр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20мм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0,73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Свердлiння отворів у металевих елементах огородження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Прокладка ущільнююча (гумова) 50х100х5мм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шт.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Грунтування поверхонь металоконструкцій огородження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грунтівкою за два рази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34,1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Фарбування погрунтованих поверхонь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металоконструкцій огородження емаллю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антикорозійною за 2 рази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34,1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огородження покрівлі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0,85214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5. Водовідведення з покрівлі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Навішування водостічних труб, колін, відливів і лійок з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готових елементів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ринв з готових елементiв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Локальний кошторис 02-01-02 на Вогнезахисна обробка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Вогнезахист дерев'яних конструкцій лат під покрівлю,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покриттів та настилів по фермах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1786,4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Вогнезахисний засіб "Біофлейм"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кг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643,1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Локальний кошторис 02-01-03 на Влаштування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блискавкозахисту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Розробка ґрунту вручну в траншеях глибиною до 2 м без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кріплень з укосами, група ґрунту 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13,65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Засипання вручну траншей, пазух котлованів та ям,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група ґрунту 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13,65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Заземлювач вертикальний з круглої сталі діаметром 16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120065 Е20/6 Насадка з хвостовиком SDS Max St/gZn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120355 Е20/35 Наконечник D20 St/tZn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120011 Е20/1 Стержень стандарт D20 L1500 St/tZn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901010 А01/1 Стрічка водоблокуюча 10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Заземлювач горизонтальний у траншеї зi сталi штабової,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перерiз 100 мм2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504251 W04/25 Смуга оцинкована 25х4 мм St/tZn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314011 Н14/1 Тримач смуги Fix 30 без шпильки St/tZn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205011 C05/1 З'єднувач Cant D20 3 пласт S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полiетиленових труб , дiаметр труб до 25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Затягування у прокладенi труби дроту перерiзом до 70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Труба гладка 16 LIGHT(90м)(3м-1палка)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Провідник заземлюючий відкрито по будівельних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основах з круглої сталі діаметром 8 мм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[при роботi на висотi понад 2 до 8 м]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502086 W02/08 Дріт алюмінієвий D8 мм Al (1м=0,135кг)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Шпилька двогвинтова М 8x100 (п=50) (1000)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Дюбель Розпірний рамний 12/8х80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Самонаріз з буром для кріплення в метал 5,5х38 п=250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Шайба д/шурупа з прокладкою EPDM D14 мм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312011 H12/1 Тримач щогли Fix без шпильки St/tZn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310011 H10/1 Тримач Fix без шпильки St/tZn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209011 C09/1 З'єднувач трубчастий D6-10 St/tZn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201021 С01/2 З'єднувач Vario 2 пласт St/tZn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301089 H01/8 Тримач дроту Сlip М8 сірий PA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306013 H06/1 Тримач на кутовий гребінь даху з Clip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203011 С03/1 З'єднувач Contra 2 пласт St/tZn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Коробка на стiнi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Коробка фасадна зовнішня 167х167х78мм Pi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стійок блискавкозахисту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414323 М14/32 Блискавкоприймач на гребінь даху L3000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Ni/Al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Локальний кошторис 02-02-01 на Загальнобудівельні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роботи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1. Демонтажні роботи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покриття покрівель з хвилястих і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напівхвилястих азбестоцементних листів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лат [решетування] з дощок з прозорами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елементів каркаса з брусів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дерев'яних заповнень віконних прорізів без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підвіконних дошок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0,49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цегляних стін (збільшення прорізу під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віконним прорізом для встановлення протипожежного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дверного блоку на виході з горища)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Очищення горища від сміття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877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12,06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сміття до 5 км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12,06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2. Покрівля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і розбирання зовнішніх інвентарних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риштувань трубчастих висотою до 16 м для інших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оздоблювальних робіт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 вп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елементів каркаса з брусів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38,1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контрлат і лат з прозорами iз брускiв пiд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покрiвлю з металопрофілю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1340,3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вітрової дошки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Підшивка карнизiв дошками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Фарбування вітрової дошки і дощок підшивки даху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захисного шару - підкладки з плівки по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всій площині покрівлі (гідроізоляція)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1340,3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Плівка гідро-, пароізоляційна (покрівля)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1474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покриття покрівлі з металопрофілю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(профнастилу) ТП-35о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1340,3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Металопрофіль ТП-35о (профнастил)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1474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Снігозатримувач (2м)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шт.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Саморіз покрівельний зі свердлом по металу з шайбою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11328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Конькова планка (гребінь)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Захисний ущільнювач під коньок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слухових вікон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Облицювання бічних поверхонь слухового вікна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профлистом ТП-8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покриття слухового вікна з металопрофілю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(профнастилу) ТП-35о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13,72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Саморіз покрівельний зі свердлом по металу з шайбою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 вiконних прорiзiв готовими блоками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площею до 2 м2 з металлопластику в кам'яних стiнах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житлових і громадських будівель (900х1000/h/мм - 2шт.)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3. Горище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монолітних поясів (Мп1, Мп2) в опалубці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Виготовлення каркасів для монолітних поясів Мп1, Мп2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1,15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Ставлення болтів будівельних з гайками й шайбами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(анкера А1, А2)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Нарощування стін існуючих цегляних вентиляційних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каналів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Iзоляцiя плоских поверхонь плитами мiнераловатними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(утеплення стінок вентканалів в межах горища плитами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мiнераловатними товщ. 50мм)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10,7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Облицювання вентканалів по утеплювачу профлистом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ТП-8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10,7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захисту примикання вентканалів до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покриття покрівлі оцинкованим листом (оцинкований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лист 460х1мм)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захисного шару - підкладки з плівки по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всій площині горищного перекриття (пароізоляція)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Плівка гідро-, пароізоляційна (покрівля)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990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Утеплення горищного перекриття плитами iз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мiнеральної вати товщиною 250мм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877,05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захисного шару - підкладки з плівки по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всій площині горищного перекриття (гідроізоляція)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Плівка гідро-, пароізоляційна (покрівля)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990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Укладання ходового настилу шириною 750 мм із дощок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товщиною 40 мм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Обклеювання укосів нового прорізу в стіні сіткою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перфорованих штукатурних кутиків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Штукатурення плоских поверхонь дверних укосів по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бетону та каменю (укоси нового прорізу в стіні)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Шпаклювання укосів шпаклівкою (укоси нового прорізу в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стіні)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на 2 мм зміни товщини шпаклювання укосів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Поліпшене фарбування вологостійкими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водоемульсiйними сумiшами поверхонь дверних укосів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 дверних прорізів протипожежними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металевими дверними блоками із застосуванням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анкерів і монтажної піни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блок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Дверний блок протипожежний металевий , 700х2100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/h/мм (межа вогнестійкості ЕІ 30)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4. Огородження покрівлі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Виготовлення огородження покрівлі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1,0238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Сталь штабова (смуга), 40х5мм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0,2265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Гарячекатана арматурна сталь гладка, клас А-1, діаметр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20мм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0,859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Свердлiння отворів у металевих елементах огородження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Прокладка ущільнююча (гумова) 50х100х5мм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шт.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Грунтування поверхонь металоконструкцій огородження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грунтівкою за два рази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Фарбування погрунтованих поверхонь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металоконструкцій огородження емаллю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антикорозійною за 2 рази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огородження покрівлі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1,0238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5. Водовідведення з покрівлі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Навішування водостічних труб, колін, відливів і лійок з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готових елементів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After w:val="2"/>
          <w:wAfter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ринв з готових елементiв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Before w:val="2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Локальний кошторис 02-02-02 на Вогнезахисна обробка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Before w:val="2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Before w:val="2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Вогнезахист дерев'яних конструкцій лат під покрівлю,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покриттів та настилів по фермах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1912,39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Before w:val="2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Вогнезахисний засіб "Біофлейм"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кг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688,46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Before w:val="2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Локальний кошторис 02-02-03 на Влаштування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блискавкозахисту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Before w:val="2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Before w:val="2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Розробка ґрунту вручну в траншеях глибиною до 2 м без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кріплень з укосами, група ґрунту 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17,85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Before w:val="2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Засипання вручну траншей, пазух котлованів та ям,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група ґрунту 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17,85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Before w:val="2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Заземлювач вертикальний з круглої сталі діаметром 16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Before w:val="2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120065 Е20/6 Насадка з хвостовиком SDS Max St/gZn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Before w:val="2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120355 Е20/35 Наконечник D20 St/tZn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Before w:val="2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120011 Е20/1 Стержень стандарт D20 L1500 St/tZn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Before w:val="2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901010 А01/1 Стрічка водоблокуюча 10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Before w:val="2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Заземлювач горизонтальний у траншеї зi сталi штабової,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перерiз 100 мм2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Before w:val="2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504251 W04/25 Смуга оцинкована 25х4 мм St/tZn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Before w:val="2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314011 Н14/1 Тримач смуги Fix 30 без шпильки St/tZn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Before w:val="2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205011 C05/1 З'єднувач Cant D20 3 пласт S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Before w:val="2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полiетиленових труб , дiаметр труб до 25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Before w:val="2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Затягування у прокладенi труби дроту перерiзом до 70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Before w:val="2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Труба гладка 16 LIGHT(90м)(3м-1палка)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Before w:val="2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Провідник заземлюючий відкрито по будівельних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основах з круглої сталі діаметром 8 мм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[при роботi на висотi понад 2 до 8 м]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464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Before w:val="2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502086 W02/08 Дріт алюмінієвий D8 мм Al (1м=0,135кг)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Before w:val="2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Шпилька двогвинтова М 8x100 (п=50) (1000)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Before w:val="2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Дюбель Розпірний рамний 12/8х80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Before w:val="2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Самонаріз з буром для кріплення в метал 5,5х38 п=250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Before w:val="2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Шайба д/шурупа з прокладкою EPDM D14 мм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Before w:val="2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312011 H12/1 Тримач щогли Fix без шпильки St/tZn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Before w:val="2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310011 H10/1 Тримач Fix без шпильки St/tZn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Before w:val="2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209011 C09/1 З'єднувач трубчастий D6-10 St/tZn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Before w:val="2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201021 С01/2 З'єднувач Vario 2 пласт St/tZn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Before w:val="2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301089 H01/8 Тримач дроту Сlip М8 сірий PA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Before w:val="2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306013 H06/1 Тримач на кутовий гребінь даху з Clip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Before w:val="2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203011 С03/1 З'єднувач Contra 2 пласт St/tZn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Before w:val="2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Коробка на стiнi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Before w:val="2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Коробка фасадна зовнішня 167х167х78мм Pi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Before w:val="2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стійок блискавкозахисту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561" w:rsidTr="00CD38B6">
        <w:trPr>
          <w:gridBefore w:val="2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414323 М14/32 Блискавкоприймач на гребінь даху L3000</w:t>
            </w:r>
          </w:p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Ni/Al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561" w:rsidRDefault="00597561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E55080" w:rsidRDefault="00E55080" w:rsidP="00E55080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1D243A" w:rsidRPr="00325854" w:rsidRDefault="001D243A" w:rsidP="00FF59B8">
      <w:pPr>
        <w:shd w:val="clear" w:color="auto" w:fill="FFFFFF"/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340" w:rsidRPr="00325854" w:rsidRDefault="00CF7820" w:rsidP="00951B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i/>
          <w:sz w:val="20"/>
          <w:szCs w:val="24"/>
        </w:rPr>
      </w:pPr>
      <w:r w:rsidRPr="00325854">
        <w:rPr>
          <w:rFonts w:ascii="Times New Roman" w:hAnsi="Times New Roman" w:cs="Times New Roman"/>
          <w:bCs/>
          <w:i/>
          <w:sz w:val="20"/>
          <w:szCs w:val="24"/>
        </w:rPr>
        <w:t>* У разі посилання у технічній специфікації на конкретну торговельну марку чи фірму, патент, конструкцію або тип предмета закупівлі, джерело його походження або виробника, якщо таке посилання є необхідним, воно повинно бути обґрунтованим та містити вираз «або еквівалент».</w:t>
      </w:r>
    </w:p>
    <w:p w:rsidR="00616964" w:rsidRPr="00325854" w:rsidRDefault="00616964" w:rsidP="00951B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i/>
          <w:sz w:val="18"/>
          <w:szCs w:val="24"/>
        </w:rPr>
      </w:pPr>
    </w:p>
    <w:p w:rsidR="00444420" w:rsidRPr="00325854" w:rsidRDefault="0044442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854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F04340" w:rsidRPr="00325854" w:rsidRDefault="00B162A9" w:rsidP="00616964">
      <w:pPr>
        <w:shd w:val="clear" w:color="auto" w:fill="FFFFFF"/>
        <w:spacing w:after="0" w:line="240" w:lineRule="auto"/>
        <w:ind w:firstLine="4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854">
        <w:rPr>
          <w:rFonts w:ascii="Times New Roman" w:eastAsia="Times New Roman" w:hAnsi="Times New Roman" w:cs="Times New Roman"/>
          <w:b/>
          <w:sz w:val="24"/>
          <w:szCs w:val="24"/>
        </w:rPr>
        <w:t xml:space="preserve">Відомість </w:t>
      </w:r>
      <w:r w:rsidR="00606DF6" w:rsidRPr="00325854">
        <w:rPr>
          <w:rFonts w:ascii="Times New Roman" w:eastAsia="Times New Roman" w:hAnsi="Times New Roman" w:cs="Times New Roman"/>
          <w:b/>
          <w:sz w:val="24"/>
          <w:szCs w:val="24"/>
        </w:rPr>
        <w:t>ресурсів: Будівельні матеріали, вироби і комплекти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55"/>
        <w:gridCol w:w="1134"/>
        <w:gridCol w:w="1247"/>
      </w:tblGrid>
      <w:tr w:rsidR="008F1E8F" w:rsidTr="00CD38B6">
        <w:trPr>
          <w:trHeight w:val="230"/>
          <w:jc w:val="center"/>
        </w:trPr>
        <w:tc>
          <w:tcPr>
            <w:tcW w:w="7355" w:type="dxa"/>
            <w:vAlign w:val="center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Найменування </w:t>
            </w:r>
          </w:p>
        </w:tc>
        <w:tc>
          <w:tcPr>
            <w:tcW w:w="1134" w:type="dxa"/>
            <w:vAlign w:val="center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Одиниця </w:t>
            </w:r>
          </w:p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247" w:type="dxa"/>
            <w:vAlign w:val="center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Кількість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  <w:vAlign w:val="center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II. Будівельні машини і механізми</w:t>
            </w:r>
          </w:p>
        </w:tc>
        <w:tc>
          <w:tcPr>
            <w:tcW w:w="1134" w:type="dxa"/>
            <w:vAlign w:val="center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Автомобілі бортові, вантажопідйомність 5 т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маш. год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27,6521328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Автонаванажувачі, вантажопідйомність 2 т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маш. год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0,038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Верстати свердлильні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маш. год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4,502256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Компресори пересувні з двигуном внутрішнього згоряння, тиск до 686 кПа [7 ат], продуктивність 2,2 м3/хв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маш. год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10,8875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Кран переносний, вантажопідйомність 1 т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маш. год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40,048382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Крани на автомобільному ходу, вантажопідйомність 10 т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маш. год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22,543734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Молотки відбійні пневматичні, при роботі від пересувних компресорних станцій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маш. год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0,575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Підіймачі щоглові будівельні, вантажопідйомність 0,5 т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маш. год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0,0561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Перетворювачі зварювальні з номінальним зварювальним струмом 315-500 А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маш. год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98,49042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Прес-ножиці комбіновані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маш. год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1,500752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Установка для зварювання ручного дугового [постійного струму]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маш. год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32,08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сміття до 5 км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20,06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  <w:vAlign w:val="center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Будiвельнi машини, врахованi в складi загальновиробничих витрат</w:t>
            </w:r>
          </w:p>
        </w:tc>
        <w:tc>
          <w:tcPr>
            <w:tcW w:w="1134" w:type="dxa"/>
            <w:vAlign w:val="center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Апарат для газового зварювання і різання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маш. год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2,723346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Бадді, місткість 2 м3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маш. год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10,88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Вібратори глибинні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маш. год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8,9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Гайковерт пневматичний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маш. год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10,6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Дрилі електричні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маш. год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42,810782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Лебідки електричні, тягове зусилля до 49,05 кН [5 т]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маш. год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14,007364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Машини шліфувальні електричні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маш. год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1,900376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Машини шліфувальні кутові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маш. год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3,45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Пістолет монтажний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маш. год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24,6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Перфоратор електромагнітний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маш. год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10,5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Перфоратори електричні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маш. год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0,88102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Термопенали з масою завантажувальних</w:t>
            </w:r>
          </w:p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електродів не більше 5 кг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маш. год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98,49042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Фарборозпилювачі ручні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маш. год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0,0761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Шуруповерти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маш. год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0,5326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  <w:vAlign w:val="center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III. Будівельні матеріали, вироби і комплекти</w:t>
            </w:r>
          </w:p>
        </w:tc>
        <w:tc>
          <w:tcPr>
            <w:tcW w:w="1134" w:type="dxa"/>
            <w:vAlign w:val="center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120011 Е20/1 Стержень стандарт D20 L1500 St/tZn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120065 Е20/6 Насадка з хвостовиком SDS Max St/gZn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120355 Е20/35 Наконечник D20 St/tZn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201021 С01/2 З'єднувач Vario 2 пласт St/tZn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203011 С03/1 З'єднувач Contra 2 пласт St/tZn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205011 C05/1 З'єднувач Cant D20 3 пласт S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209011 C09/1 З'єднувач трубчастий D6-10 St/tZn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301089 H01/8 Тримач дроту Сlip М8 сірий PA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220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306013 H06/1 Тримач на кутовий гребінь даху з Clip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270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310011 H10/1 Тримач Fix без шпильки St/tZn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128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312011 H12/1 Тримач щогли Fix без шпильки St/tZn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81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314011 Н14/1 Тримач смуги Fix 30 без шпильки St/tZn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414323 М14/32 Блискавкоприймач на гребінь даху L3000 Ni/Al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502086 W02/08 Дріт алюмінієвий D8 мм Al (1м=0,135кг)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810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504251 W04/25 Смуга оцинкована 25х4 мм St/tZn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90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901010 А01/1 Стрічка водоблокуюча 10 м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Анкерна шпилька L-образна (покрівельна) М16х450мм (з гайкой і шайбой)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Анкерна шпилька L-образна (покрівельна) М16х585мм (з гайкой і шайбой)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194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Болти із шестигранною головкою, діаметр різьби 8 мм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0,292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Бруси обрізні з хвойних порід, довжина 4-6,5 м, ширина 75-150 мм, товщина 100, 125 мм, ІІ сорт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1,3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Бруси обрізні з хвойних порід, довжина 4-6,5 м, ширина 75-150 мм, товщина 50-150 мм, ІІ сорт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40,4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Бруски обрізні з хвойних порід, довжина 2-3,75 м, ширина 75-150 мм, товщина 40-75 мм, ІІ сорт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14,42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Бруски обрізні хвойних порід, довжина 2-6,5 м, товщина 40-60 мм, ІІ сорт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1,7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Вiконний блок iз металопластику з вентиляційною решіткою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1,8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Вогнезахисний засіб "Біофлейм"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1331,56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Водоприймач прохідний (лійка)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Гарячекатана арматурна сталь гладка, клас А-1, діаметр 20мм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1,589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Гарячекатана арматурна сталь періодичного профілю, клас А-ІІІ, діаметр 6 мм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Гарячекатана арматурна сталь періодичного профілю, клас А-ІІІ, діаметр 12 мм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0,92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Герметик силіконовий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Грунт антикорозійний (по металу) 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15,5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Грунтовка глибокопроникна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Дверний блок протипожежний металевий, 700х2100 /h/мм (межа вогнестійкості ЕІ 30)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Дошки обрізні з хвойних порід, довжина 4-6,5 м, ширина 75-150 мм, товщина 25 мм, ІІ сорт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4,63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Дошки обрізні з хвойних порід, довжина 4-6,5 м, ширина 75-180 мм, товщина 30 мм, ІІ сорт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2,2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Дошки обрізні з хвойних порід, довжина 4-6,5 м, ширина 75-150 мм, товщина 30мм, ІІ сорт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10,12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Дошки обрізні з хвойних порід, довжина 4-6,5 м, ширина 75-150 мм, товщина 44 мм і більше, ІІІ сорт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Дріт сталевий низьковуглецевий загального призначення, діаметр 0,8 мм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1,4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Дріт сталевий низьковуглецевий загального призначення, діаметр 2 мм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20,3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Дріт сталевий низьковуглецевий різного призначення оцинкований, діаметр 1,1 мм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0,001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Дріт сталевий низьковуглецевий різного призначення оцинкований, діаметр 6,0-6,3 мм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0,025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Дріт сталевий низьковуглецевий різного призначення світлий, діаметр 1,1 мм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0,008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Дріт сталевий низьковуглецевий різного призначення світлий, діаметр 4,0 мм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0,016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Дюбелi 10х100мм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Дюбель Розпірний рамний 12/8х80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220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Дюбель розпірний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245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Дюбель-гак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Дюбель-шуруп 10х100мм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Дюбель-шурупи з пластмасовими пробками (150 мм)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Електроди, діаметр 5 мм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0,045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Електроди, діаметр 5 мм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0,037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Емаль антикорозійна 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0,030999996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З"єднувач ринви D 170мм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95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З"єднувач труби (муфта) D 110мм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62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Заглушка ринви (ліва, права) D 170мм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Заклепки з напівкруглою головкою, діаметр стрижня 4 мм, довжина 10 мм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0,00174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Захисний ущільнювач під коньок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240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Злив D 110мм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Кисень технічний газоподібний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Клей 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0,0001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Коліно водостічне D 110мм 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80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Конькова планка (гребінь)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240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Коробка фасадна зовнішня 167х167х78мм Pi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Кронштейн водостічної труби D 110мм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329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Кронштейн для кріплення ринви металевий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605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Круг відрізний, D230 мм (по металу)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Круги армовані абразивні зачисні, діаметр 180х6 мм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Кут ринви (внутрішній, зовнішній) D 170мм / 90°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Кутики штукатурні металеві оцинковані перфоровані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5,2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Люк протипожежний металевий ЕІ-30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Мiнвата, товщина 100 мм 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1719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Мiнвата, товщина 150 мм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1719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Мiнвата, товщина 50мм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58,08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Металопрофіль ТП-35о (профнастил) 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2508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Металопрофіль ТП-8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75,6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Піна монтажна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2,5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Папір шліфувальний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0,01467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Плівка гідро-, пароізоляційна (покрівля)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6012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Поковки з квадратних заготовок, маса 1,8 кг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0,029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Поковки з квадратних заготовок, маса 2,825 кг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0,1238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Прокладка ущільнююча (гумова) 50х100х5мм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346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Пропан-бутан технічний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0,4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Ринва (водостічний жолоб) /L1= 4м, D 170мм /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м.п.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388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Розчин готовий кладковий важкий цементний, марка М75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Розчин готовий кладковий важкий цементно-вапняковий, марка М25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0,232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Самонаріз з буром для кріплення в метал 5,5х38 п=250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Саморіз покрівельний зі свердлом по металу з шайбою 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20034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Свердло універсальне , дiаметр 10мм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Силікон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Склосiтка 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1,1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Снігозатримувач (2м)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140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Сортовий гарячекатаний прокат із сталі вуглецевої звичайної якості  марки Ст0, </w:t>
            </w:r>
          </w:p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штабовий, товщина 10-75 мм при ширині 100-200 мм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0,0232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Сталеві деталі риштувань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0,068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Сталь листова оцинкована товщ. 1 мм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0,056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Сталь штабова (смуга), 40х5мм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0,3998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Стрічка сталева пакувальна, м'яка, нормальної точності 0,7х(20-50) мм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0,015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Суміші бетонні готові важкі, клас бетону В15 [М200], крупність заповнювача більше 20 до 40 мм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20,3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Толь з крупнозернистою посипкою гідроізоляційна, марка ТГ-350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58,8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Тонколистовий прокат із сталі вуглецевої звичайної якості та якісної, гарячекатаний з обрізними кромками, товщина 3,9 мм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0,0348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Труба гладка 16 LIGHT(90м)(3м-1палка)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водостічні D 110мм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372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Фiксатор пластмасовий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200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Фарба водоемульсійна вологостійка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0,63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Фарба по дереву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0,053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Цвяхи будiвельнi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0,0055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Цвяхи будiвельнi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0,0081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Цвяхи будівельні 3,0х70 мм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0,0142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Цвяхи будівельні з конічною головкою 4,0х100 мм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0,057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Цвяхи будівельні з конічною головкою 4,0х100 мм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0,008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Цвяхи будівельні з конічною головкою 5,0х120 мм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0,136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Цвяхи будівельні з плоскою головкою 1,8х60 мм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0,006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Цвяхи будівельні з плоскою головкою 1,8х90 мм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0,1775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Цвяхи дротяні круглі формувальні 1,6х100 мм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0,0035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Цегла керамічна одинарна повнотіла, розміри 250х120х65 мм, марка М75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1000шт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2,842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Шайба д/шурупа з прокладкою EPDM D14 мм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Шпаклiвка 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2,4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Шпилька М8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329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Шпилька двогвинтова М 8x100 (п=50) (1000)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220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Шуруп-глухар М8х70мм 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692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Шурупи з напівкруглою головкою, діаметр стрижня 4 мм, довжина 40 мм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0,0039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Шурупи з плоскою головкою 3,5х35 мм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0,0002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Щити з дошок, товщина 40 мм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8,6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Щити опалубки, ширина 300-750 мм, товщина 25 мм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  <w:vAlign w:val="center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Машини для перевезення будівельних вантажів власним автомобільним транспортом</w:t>
            </w:r>
          </w:p>
        </w:tc>
        <w:tc>
          <w:tcPr>
            <w:tcW w:w="1134" w:type="dxa"/>
            <w:vAlign w:val="center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Код А2.  Автомобілі бортові ЗИЛ-133Г1</w:t>
            </w:r>
          </w:p>
        </w:tc>
        <w:tc>
          <w:tcPr>
            <w:tcW w:w="1134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маш. год</w:t>
            </w:r>
          </w:p>
        </w:tc>
        <w:tc>
          <w:tcPr>
            <w:tcW w:w="1247" w:type="dxa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0,044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  <w:vAlign w:val="center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en-US"/>
              </w:rPr>
              <w:t>Довідкові дані</w:t>
            </w:r>
          </w:p>
        </w:tc>
        <w:tc>
          <w:tcPr>
            <w:tcW w:w="1134" w:type="dxa"/>
            <w:vAlign w:val="center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F1E8F" w:rsidTr="00CD38B6">
        <w:trPr>
          <w:jc w:val="center"/>
        </w:trPr>
        <w:tc>
          <w:tcPr>
            <w:tcW w:w="7355" w:type="dxa"/>
            <w:vAlign w:val="center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Будівельне сміття</w:t>
            </w:r>
          </w:p>
        </w:tc>
        <w:tc>
          <w:tcPr>
            <w:tcW w:w="1134" w:type="dxa"/>
            <w:vAlign w:val="center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vAlign w:val="center"/>
          </w:tcPr>
          <w:p w:rsidR="008F1E8F" w:rsidRDefault="008F1E8F" w:rsidP="00CD38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19,98</w:t>
            </w:r>
          </w:p>
        </w:tc>
      </w:tr>
    </w:tbl>
    <w:p w:rsidR="004B0272" w:rsidRPr="00325854" w:rsidRDefault="004B0272" w:rsidP="004667F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i/>
          <w:sz w:val="20"/>
          <w:szCs w:val="24"/>
        </w:rPr>
      </w:pPr>
    </w:p>
    <w:p w:rsidR="00CF7820" w:rsidRPr="00325854" w:rsidRDefault="004667F2" w:rsidP="00793A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i/>
          <w:sz w:val="20"/>
          <w:szCs w:val="24"/>
        </w:rPr>
      </w:pPr>
      <w:r w:rsidRPr="00325854">
        <w:rPr>
          <w:rFonts w:ascii="Times New Roman" w:hAnsi="Times New Roman" w:cs="Times New Roman"/>
          <w:bCs/>
          <w:i/>
          <w:sz w:val="20"/>
          <w:szCs w:val="24"/>
        </w:rPr>
        <w:t>* У разі посилання у технічній специфікації на конкретну торговельну марку чи фірму, патент, конструкцію або тип предмета закупівлі, джерело його походження або виробника, якщо таке посилання є необхідним, воно повинно бути обґрунтованим та містити вираз «або еквівалент».</w:t>
      </w:r>
    </w:p>
    <w:sectPr w:rsidR="00CF7820" w:rsidRPr="00325854" w:rsidSect="001C144D">
      <w:headerReference w:type="default" r:id="rId8"/>
      <w:pgSz w:w="11906" w:h="16838"/>
      <w:pgMar w:top="709" w:right="567" w:bottom="567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B88" w:rsidRDefault="00B23B88" w:rsidP="002323B7">
      <w:pPr>
        <w:spacing w:after="0" w:line="240" w:lineRule="auto"/>
      </w:pPr>
      <w:r>
        <w:separator/>
      </w:r>
    </w:p>
  </w:endnote>
  <w:endnote w:type="continuationSeparator" w:id="0">
    <w:p w:rsidR="00B23B88" w:rsidRDefault="00B23B88" w:rsidP="0023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B88" w:rsidRDefault="00B23B88" w:rsidP="002323B7">
      <w:pPr>
        <w:spacing w:after="0" w:line="240" w:lineRule="auto"/>
      </w:pPr>
      <w:r>
        <w:separator/>
      </w:r>
    </w:p>
  </w:footnote>
  <w:footnote w:type="continuationSeparator" w:id="0">
    <w:p w:rsidR="00B23B88" w:rsidRDefault="00B23B88" w:rsidP="0023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A06" w:rsidRPr="00804012" w:rsidRDefault="00793A06">
    <w:pPr>
      <w:tabs>
        <w:tab w:val="center" w:pos="4564"/>
        <w:tab w:val="right" w:pos="7643"/>
      </w:tabs>
      <w:autoSpaceDE w:val="0"/>
      <w:autoSpaceDN w:val="0"/>
      <w:spacing w:after="0" w:line="240" w:lineRule="auto"/>
      <w:rPr>
        <w:sz w:val="16"/>
        <w:szCs w:val="16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31AB8"/>
    <w:multiLevelType w:val="hybridMultilevel"/>
    <w:tmpl w:val="424268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91CDC"/>
    <w:multiLevelType w:val="hybridMultilevel"/>
    <w:tmpl w:val="A8DC69D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D793767"/>
    <w:multiLevelType w:val="multilevel"/>
    <w:tmpl w:val="2EEA38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FA31685"/>
    <w:multiLevelType w:val="hybridMultilevel"/>
    <w:tmpl w:val="C502868C"/>
    <w:lvl w:ilvl="0" w:tplc="F93ADD64">
      <w:start w:val="18"/>
      <w:numFmt w:val="bullet"/>
      <w:lvlText w:val="-"/>
      <w:lvlJc w:val="left"/>
      <w:pPr>
        <w:ind w:left="587" w:hanging="360"/>
      </w:pPr>
      <w:rPr>
        <w:rFonts w:ascii="Times New Roman" w:eastAsia="Arial" w:hAnsi="Times New Roman" w:cs="Times New Roman" w:hint="default"/>
        <w:color w:val="auto"/>
        <w:sz w:val="24"/>
      </w:rPr>
    </w:lvl>
    <w:lvl w:ilvl="1" w:tplc="0422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BF5"/>
    <w:rsid w:val="000017E3"/>
    <w:rsid w:val="000052B1"/>
    <w:rsid w:val="00015AEB"/>
    <w:rsid w:val="00053D63"/>
    <w:rsid w:val="00055633"/>
    <w:rsid w:val="000639B5"/>
    <w:rsid w:val="00091C55"/>
    <w:rsid w:val="000926FF"/>
    <w:rsid w:val="000948AE"/>
    <w:rsid w:val="000B0930"/>
    <w:rsid w:val="000B70FB"/>
    <w:rsid w:val="000C3D92"/>
    <w:rsid w:val="000F25B0"/>
    <w:rsid w:val="00140E79"/>
    <w:rsid w:val="00170E23"/>
    <w:rsid w:val="001801F2"/>
    <w:rsid w:val="00181B4D"/>
    <w:rsid w:val="001B463A"/>
    <w:rsid w:val="001C144D"/>
    <w:rsid w:val="001C67DE"/>
    <w:rsid w:val="001D243A"/>
    <w:rsid w:val="001D5E6A"/>
    <w:rsid w:val="002323B7"/>
    <w:rsid w:val="00235B7B"/>
    <w:rsid w:val="002C6DAF"/>
    <w:rsid w:val="00321CC9"/>
    <w:rsid w:val="00325854"/>
    <w:rsid w:val="003752D7"/>
    <w:rsid w:val="00394DB6"/>
    <w:rsid w:val="003978E0"/>
    <w:rsid w:val="003A181A"/>
    <w:rsid w:val="003D4ACB"/>
    <w:rsid w:val="003E05B8"/>
    <w:rsid w:val="003E167A"/>
    <w:rsid w:val="003F41A1"/>
    <w:rsid w:val="00400CA2"/>
    <w:rsid w:val="00401989"/>
    <w:rsid w:val="004028D2"/>
    <w:rsid w:val="004362C3"/>
    <w:rsid w:val="00444420"/>
    <w:rsid w:val="004514F4"/>
    <w:rsid w:val="004523DF"/>
    <w:rsid w:val="004633EB"/>
    <w:rsid w:val="004667F2"/>
    <w:rsid w:val="00480A50"/>
    <w:rsid w:val="004839AF"/>
    <w:rsid w:val="00491221"/>
    <w:rsid w:val="004A0211"/>
    <w:rsid w:val="004B0272"/>
    <w:rsid w:val="004B5E0A"/>
    <w:rsid w:val="005019F8"/>
    <w:rsid w:val="00532C36"/>
    <w:rsid w:val="00536EAD"/>
    <w:rsid w:val="00555B83"/>
    <w:rsid w:val="00561D51"/>
    <w:rsid w:val="0056275D"/>
    <w:rsid w:val="00580A33"/>
    <w:rsid w:val="00583BCD"/>
    <w:rsid w:val="00597561"/>
    <w:rsid w:val="005A74C4"/>
    <w:rsid w:val="005C5BF5"/>
    <w:rsid w:val="005E1771"/>
    <w:rsid w:val="00606DF6"/>
    <w:rsid w:val="00616864"/>
    <w:rsid w:val="00616964"/>
    <w:rsid w:val="00631F5F"/>
    <w:rsid w:val="006347E0"/>
    <w:rsid w:val="00637D1F"/>
    <w:rsid w:val="006447CC"/>
    <w:rsid w:val="006600B8"/>
    <w:rsid w:val="00663CC9"/>
    <w:rsid w:val="00674535"/>
    <w:rsid w:val="00675A74"/>
    <w:rsid w:val="00682905"/>
    <w:rsid w:val="00686D81"/>
    <w:rsid w:val="0069479C"/>
    <w:rsid w:val="006B7627"/>
    <w:rsid w:val="006E7E22"/>
    <w:rsid w:val="00710C3A"/>
    <w:rsid w:val="00710CFD"/>
    <w:rsid w:val="00730F4D"/>
    <w:rsid w:val="00743BF4"/>
    <w:rsid w:val="00747C74"/>
    <w:rsid w:val="00784440"/>
    <w:rsid w:val="007860C3"/>
    <w:rsid w:val="00793A06"/>
    <w:rsid w:val="007972B2"/>
    <w:rsid w:val="007C6C26"/>
    <w:rsid w:val="007F219A"/>
    <w:rsid w:val="007F31A7"/>
    <w:rsid w:val="007F778B"/>
    <w:rsid w:val="00823D51"/>
    <w:rsid w:val="00824289"/>
    <w:rsid w:val="00837C27"/>
    <w:rsid w:val="008414DD"/>
    <w:rsid w:val="00842DB3"/>
    <w:rsid w:val="008510CD"/>
    <w:rsid w:val="008534B7"/>
    <w:rsid w:val="00874631"/>
    <w:rsid w:val="008802B1"/>
    <w:rsid w:val="008C7A66"/>
    <w:rsid w:val="008E39E8"/>
    <w:rsid w:val="008F1E8F"/>
    <w:rsid w:val="00901D75"/>
    <w:rsid w:val="00921B2E"/>
    <w:rsid w:val="00925E1D"/>
    <w:rsid w:val="00951B5A"/>
    <w:rsid w:val="009530F1"/>
    <w:rsid w:val="009579C6"/>
    <w:rsid w:val="009625B2"/>
    <w:rsid w:val="0099333C"/>
    <w:rsid w:val="009946D7"/>
    <w:rsid w:val="009A4416"/>
    <w:rsid w:val="00A025D0"/>
    <w:rsid w:val="00A04ED9"/>
    <w:rsid w:val="00A14D84"/>
    <w:rsid w:val="00A83EAE"/>
    <w:rsid w:val="00A90BD4"/>
    <w:rsid w:val="00AA2387"/>
    <w:rsid w:val="00AA276D"/>
    <w:rsid w:val="00AB12C6"/>
    <w:rsid w:val="00AC63DB"/>
    <w:rsid w:val="00AD051E"/>
    <w:rsid w:val="00AE2238"/>
    <w:rsid w:val="00AE5361"/>
    <w:rsid w:val="00AF096C"/>
    <w:rsid w:val="00B162A9"/>
    <w:rsid w:val="00B16C15"/>
    <w:rsid w:val="00B23B88"/>
    <w:rsid w:val="00B26233"/>
    <w:rsid w:val="00B414B8"/>
    <w:rsid w:val="00B506C8"/>
    <w:rsid w:val="00B54C6E"/>
    <w:rsid w:val="00B57F45"/>
    <w:rsid w:val="00B61CCF"/>
    <w:rsid w:val="00B635F2"/>
    <w:rsid w:val="00B82A3B"/>
    <w:rsid w:val="00BA2589"/>
    <w:rsid w:val="00BC072C"/>
    <w:rsid w:val="00BC0EDA"/>
    <w:rsid w:val="00C21A13"/>
    <w:rsid w:val="00C30577"/>
    <w:rsid w:val="00C40B86"/>
    <w:rsid w:val="00C44894"/>
    <w:rsid w:val="00C56BF1"/>
    <w:rsid w:val="00C62E9A"/>
    <w:rsid w:val="00C64652"/>
    <w:rsid w:val="00C7592C"/>
    <w:rsid w:val="00C9632B"/>
    <w:rsid w:val="00CB2802"/>
    <w:rsid w:val="00CB70F4"/>
    <w:rsid w:val="00CC05A7"/>
    <w:rsid w:val="00CF7820"/>
    <w:rsid w:val="00D043C0"/>
    <w:rsid w:val="00D10E37"/>
    <w:rsid w:val="00D15A99"/>
    <w:rsid w:val="00D226EC"/>
    <w:rsid w:val="00D25093"/>
    <w:rsid w:val="00D35344"/>
    <w:rsid w:val="00D50EC2"/>
    <w:rsid w:val="00D64CC3"/>
    <w:rsid w:val="00D70F5E"/>
    <w:rsid w:val="00D91119"/>
    <w:rsid w:val="00DB3131"/>
    <w:rsid w:val="00DE25F2"/>
    <w:rsid w:val="00DE3FB7"/>
    <w:rsid w:val="00E3011D"/>
    <w:rsid w:val="00E361EF"/>
    <w:rsid w:val="00E40A8E"/>
    <w:rsid w:val="00E55080"/>
    <w:rsid w:val="00E572BC"/>
    <w:rsid w:val="00E66067"/>
    <w:rsid w:val="00E7038E"/>
    <w:rsid w:val="00E80BAB"/>
    <w:rsid w:val="00E80D7B"/>
    <w:rsid w:val="00E83E4F"/>
    <w:rsid w:val="00EB128D"/>
    <w:rsid w:val="00EB2132"/>
    <w:rsid w:val="00EC76C5"/>
    <w:rsid w:val="00ED387B"/>
    <w:rsid w:val="00EE2E9B"/>
    <w:rsid w:val="00EE4A98"/>
    <w:rsid w:val="00EE4AD1"/>
    <w:rsid w:val="00EF2281"/>
    <w:rsid w:val="00EF7C7A"/>
    <w:rsid w:val="00F04340"/>
    <w:rsid w:val="00F10DA0"/>
    <w:rsid w:val="00F35F51"/>
    <w:rsid w:val="00F44CF5"/>
    <w:rsid w:val="00F45BA6"/>
    <w:rsid w:val="00F62CBC"/>
    <w:rsid w:val="00F74219"/>
    <w:rsid w:val="00FA19AF"/>
    <w:rsid w:val="00FF59B8"/>
    <w:rsid w:val="360B9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2C6DA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2C6DA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C6DA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C6DA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2C6DA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2C6DA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rsid w:val="002C6DA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C6DA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rsid w:val="002C6DA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rsid w:val="002C6DA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2C6DA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2C6D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0"/>
    <w:rsid w:val="002C6D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rsid w:val="002C6D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rsid w:val="002C6D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rsid w:val="002C6D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rsid w:val="002C6D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rsid w:val="002C6D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10">
    <w:name w:val="Обычный (веб) Знак1"/>
    <w:aliases w:val="Обычный (веб) Знак Знак"/>
    <w:link w:val="af5"/>
    <w:uiPriority w:val="99"/>
    <w:semiHidden/>
    <w:locked/>
    <w:rsid w:val="00F04340"/>
    <w:rPr>
      <w:rFonts w:ascii="Times New Roman" w:eastAsia="Times New Roman" w:hAnsi="Times New Roman" w:cs="Times New Roman"/>
      <w:sz w:val="24"/>
      <w:szCs w:val="24"/>
      <w:lang/>
    </w:rPr>
  </w:style>
  <w:style w:type="paragraph" w:styleId="af5">
    <w:name w:val="Normal (Web)"/>
    <w:aliases w:val="Обычный (веб) Знак"/>
    <w:basedOn w:val="a"/>
    <w:link w:val="10"/>
    <w:uiPriority w:val="99"/>
    <w:semiHidden/>
    <w:unhideWhenUsed/>
    <w:rsid w:val="00F0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af6">
    <w:name w:val="header"/>
    <w:basedOn w:val="a"/>
    <w:link w:val="af7"/>
    <w:uiPriority w:val="99"/>
    <w:unhideWhenUsed/>
    <w:rsid w:val="002323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2323B7"/>
  </w:style>
  <w:style w:type="paragraph" w:styleId="af8">
    <w:name w:val="footer"/>
    <w:basedOn w:val="a"/>
    <w:link w:val="af9"/>
    <w:uiPriority w:val="99"/>
    <w:unhideWhenUsed/>
    <w:rsid w:val="002323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2323B7"/>
  </w:style>
  <w:style w:type="paragraph" w:styleId="afa">
    <w:name w:val="List Paragraph"/>
    <w:aliases w:val="Numbered List,Список уровня 2,Bullet Number,Bullet 1,Use Case List Paragraph,lp1,lp11,List Paragraph11,List Paragraph (numbered (a))"/>
    <w:basedOn w:val="a"/>
    <w:link w:val="afb"/>
    <w:uiPriority w:val="99"/>
    <w:qFormat/>
    <w:rsid w:val="00B414B8"/>
    <w:pPr>
      <w:spacing w:after="200" w:line="276" w:lineRule="auto"/>
      <w:ind w:left="720"/>
      <w:contextualSpacing/>
    </w:pPr>
    <w:rPr>
      <w:rFonts w:cs="Times New Roman"/>
      <w:lang w:val="ru-RU" w:eastAsia="en-US"/>
    </w:rPr>
  </w:style>
  <w:style w:type="character" w:customStyle="1" w:styleId="afb">
    <w:name w:val="Абзац списка Знак"/>
    <w:aliases w:val="Numbered List Знак,Список уровня 2 Знак,Bullet Number Знак,Bullet 1 Знак,Use Case List Paragraph Знак,lp1 Знак,lp11 Знак,List Paragraph11 Знак,List Paragraph (numbered (a)) Знак"/>
    <w:link w:val="afa"/>
    <w:uiPriority w:val="99"/>
    <w:locked/>
    <w:rsid w:val="00B414B8"/>
    <w:rPr>
      <w:rFonts w:cs="Times New Roman"/>
      <w:lang w:val="ru-RU" w:eastAsia="en-US"/>
    </w:rPr>
  </w:style>
  <w:style w:type="paragraph" w:styleId="20">
    <w:name w:val="Body Text 2"/>
    <w:basedOn w:val="a"/>
    <w:link w:val="21"/>
    <w:uiPriority w:val="99"/>
    <w:unhideWhenUsed/>
    <w:rsid w:val="000052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1">
    <w:name w:val="Основной текст 2 Знак"/>
    <w:basedOn w:val="a0"/>
    <w:link w:val="20"/>
    <w:uiPriority w:val="99"/>
    <w:rsid w:val="000052B1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c">
    <w:name w:val="FollowedHyperlink"/>
    <w:basedOn w:val="a0"/>
    <w:uiPriority w:val="99"/>
    <w:semiHidden/>
    <w:unhideWhenUsed/>
    <w:rsid w:val="00B61CCF"/>
    <w:rPr>
      <w:color w:val="800080"/>
      <w:u w:val="single"/>
    </w:rPr>
  </w:style>
  <w:style w:type="paragraph" w:customStyle="1" w:styleId="font5">
    <w:name w:val="font5"/>
    <w:basedOn w:val="a"/>
    <w:rsid w:val="00B61CC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color w:val="000000"/>
      <w:sz w:val="20"/>
      <w:szCs w:val="20"/>
      <w:lang w:val="ru-RU"/>
    </w:rPr>
  </w:style>
  <w:style w:type="paragraph" w:customStyle="1" w:styleId="xl63">
    <w:name w:val="xl63"/>
    <w:basedOn w:val="a"/>
    <w:rsid w:val="00B61C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xl64">
    <w:name w:val="xl64"/>
    <w:basedOn w:val="a"/>
    <w:rsid w:val="00B61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xl65">
    <w:name w:val="xl65"/>
    <w:basedOn w:val="a"/>
    <w:rsid w:val="00B61C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/>
    </w:rPr>
  </w:style>
  <w:style w:type="paragraph" w:customStyle="1" w:styleId="xl66">
    <w:name w:val="xl66"/>
    <w:basedOn w:val="a"/>
    <w:rsid w:val="00B61CC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xl67">
    <w:name w:val="xl67"/>
    <w:basedOn w:val="a"/>
    <w:rsid w:val="00B61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/>
    </w:rPr>
  </w:style>
  <w:style w:type="paragraph" w:customStyle="1" w:styleId="msonormal0">
    <w:name w:val="msonormal"/>
    <w:basedOn w:val="a"/>
    <w:rsid w:val="003F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8">
    <w:name w:val="xl68"/>
    <w:basedOn w:val="a"/>
    <w:rsid w:val="003F4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69">
    <w:name w:val="xl69"/>
    <w:basedOn w:val="a"/>
    <w:rsid w:val="003F4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0">
    <w:name w:val="xl70"/>
    <w:basedOn w:val="a"/>
    <w:rsid w:val="003F4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1">
    <w:name w:val="xl71"/>
    <w:basedOn w:val="a"/>
    <w:rsid w:val="003F4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72">
    <w:name w:val="xl72"/>
    <w:basedOn w:val="a"/>
    <w:rsid w:val="003F4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73">
    <w:name w:val="xl73"/>
    <w:basedOn w:val="a"/>
    <w:rsid w:val="003F4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74">
    <w:name w:val="xl74"/>
    <w:basedOn w:val="a"/>
    <w:rsid w:val="003F41A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5">
    <w:name w:val="xl75"/>
    <w:basedOn w:val="a"/>
    <w:rsid w:val="003F41A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6">
    <w:name w:val="xl76"/>
    <w:basedOn w:val="a"/>
    <w:rsid w:val="003F41A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7">
    <w:name w:val="xl77"/>
    <w:basedOn w:val="a"/>
    <w:rsid w:val="003F41A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8">
    <w:name w:val="xl78"/>
    <w:basedOn w:val="a"/>
    <w:rsid w:val="003F41A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9">
    <w:name w:val="xl79"/>
    <w:basedOn w:val="a"/>
    <w:rsid w:val="003F41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0">
    <w:name w:val="xl80"/>
    <w:basedOn w:val="a"/>
    <w:rsid w:val="003F41A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uk-UA"/>
    </w:rPr>
  </w:style>
  <w:style w:type="paragraph" w:customStyle="1" w:styleId="xl81">
    <w:name w:val="xl81"/>
    <w:basedOn w:val="a"/>
    <w:rsid w:val="003F41A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uk-UA"/>
    </w:rPr>
  </w:style>
  <w:style w:type="paragraph" w:customStyle="1" w:styleId="xl82">
    <w:name w:val="xl82"/>
    <w:basedOn w:val="a"/>
    <w:rsid w:val="003F41A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uk-UA"/>
    </w:rPr>
  </w:style>
  <w:style w:type="paragraph" w:customStyle="1" w:styleId="xl83">
    <w:name w:val="xl83"/>
    <w:basedOn w:val="a"/>
    <w:rsid w:val="003F41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uk-UA"/>
    </w:rPr>
  </w:style>
  <w:style w:type="paragraph" w:customStyle="1" w:styleId="xl84">
    <w:name w:val="xl84"/>
    <w:basedOn w:val="a"/>
    <w:rsid w:val="003F4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85">
    <w:name w:val="xl85"/>
    <w:basedOn w:val="a"/>
    <w:rsid w:val="003F4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6">
    <w:name w:val="xl86"/>
    <w:basedOn w:val="a"/>
    <w:rsid w:val="003F4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7">
    <w:name w:val="xl87"/>
    <w:basedOn w:val="a"/>
    <w:rsid w:val="003F4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8">
    <w:name w:val="xl88"/>
    <w:basedOn w:val="a"/>
    <w:rsid w:val="00580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VQn2rFXf5fha+ZRYKXsj0qCJeZt0vnc1faBICFX8dd8+/mjmthPYDuuOhlD3/xmbN95ZbQ+4oiLfDFfjfdo3oq+Tyc4uQ+wUv3hQEA7Tc5RKrTXulAdXWH9USNUuJajm3TD60wEKLK7d0tJzpQKcmkLIxDgJ18QjU7QyJhau5jqZwglGWZh+IwMxZQBsSAnZB5L+w3L4/I14R8OThqdGrwmnWnCSs9l4arZOGAeChDV6qjmqrmQ90ob9u9jJ3YgFJ9RGdfUpC3UbzBAZttz+8xG/JFer6hcJItUvXTd0bpm7JrZolKC5UK6oeghgtGKXjldG4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4586</Words>
  <Characters>26144</Characters>
  <Application>Microsoft Office Word</Application>
  <DocSecurity>0</DocSecurity>
  <Lines>217</Lines>
  <Paragraphs>61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Вита</cp:lastModifiedBy>
  <cp:revision>2</cp:revision>
  <dcterms:created xsi:type="dcterms:W3CDTF">2023-10-09T08:05:00Z</dcterms:created>
  <dcterms:modified xsi:type="dcterms:W3CDTF">2023-10-09T08:05:00Z</dcterms:modified>
</cp:coreProperties>
</file>