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00"/>
        <w:gridCol w:w="3238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34A9" w:rsidRPr="00A0641A" w:rsidRDefault="00F534A9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597B" w:rsidRPr="00A0641A" w:rsidRDefault="0061597B" w:rsidP="00615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61597B" w:rsidRDefault="0061597B" w:rsidP="00615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F534A9" w:rsidRDefault="00F534A9" w:rsidP="00615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4A9" w:rsidRDefault="00F534A9" w:rsidP="00615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0D1" w:rsidRDefault="002360D1" w:rsidP="002360D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Проведення заходів по боротьбі з омелою</w:t>
      </w:r>
      <w:r w:rsidRPr="00A74C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2360D1" w:rsidRDefault="002360D1" w:rsidP="002360D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національного класифікатора України ДК 021:2015 «Єдиний закупівельний словник» –  </w:t>
      </w:r>
      <w:r>
        <w:rPr>
          <w:rFonts w:ascii="Times New Roman" w:eastAsia="Times New Roman" w:hAnsi="Times New Roman" w:cs="Times New Roman"/>
          <w:sz w:val="24"/>
          <w:szCs w:val="24"/>
        </w:rPr>
        <w:t>77310000-6 – Послуги з озеленення територій та утримання зелених насаджень</w:t>
      </w:r>
    </w:p>
    <w:p w:rsidR="00F534A9" w:rsidRPr="00B37FEA" w:rsidRDefault="00F534A9" w:rsidP="002360D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D1" w:rsidRPr="00B37FEA" w:rsidRDefault="002360D1" w:rsidP="002360D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0D1" w:rsidRDefault="002360D1" w:rsidP="002360D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B37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Надання послуг має відповідати вимогам</w:t>
      </w:r>
      <w:r w:rsidRPr="00B3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встановлені </w:t>
      </w:r>
      <w:r w:rsidRPr="00E32086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E32086">
        <w:rPr>
          <w:rFonts w:ascii="Times New Roman" w:hAnsi="Times New Roman"/>
          <w:sz w:val="24"/>
          <w:szCs w:val="24"/>
        </w:rPr>
        <w:t xml:space="preserve"> України «Про благоустрій населених пунктів»,  </w:t>
      </w:r>
      <w:r>
        <w:rPr>
          <w:rFonts w:ascii="Times New Roman" w:hAnsi="Times New Roman"/>
          <w:sz w:val="24"/>
          <w:szCs w:val="24"/>
        </w:rPr>
        <w:t>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року № 105, Порядком видалення дерев, кущів, газонів і квітників у населених пунктах, затвердженим постановою КМУ від 01.08.2006 № 1045, Правилами благоустрою Уманської міської територіальної громади, затверджених рішенням Уманської міської ради від 09.08.2021 № 4-19/8, та іншими діючими нормативно-правовими актами України у сфері благоустрою та зеленого господарства</w:t>
      </w:r>
      <w:r w:rsidRPr="00B3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60D1" w:rsidRDefault="002360D1" w:rsidP="002360D1">
      <w:pPr>
        <w:widowControl w:val="0"/>
        <w:spacing w:line="240" w:lineRule="auto"/>
        <w:ind w:right="11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Місце надання послуг: 20300, Україна, Черкаська область, місто Умань, село Полянецьке, </w:t>
      </w:r>
      <w:r w:rsidR="00EE486A" w:rsidRPr="005633E2">
        <w:rPr>
          <w:rFonts w:ascii="Times New Roman" w:hAnsi="Times New Roman"/>
          <w:sz w:val="24"/>
          <w:szCs w:val="24"/>
          <w:lang w:eastAsia="uk-UA"/>
        </w:rPr>
        <w:t xml:space="preserve">адміністративні межі </w:t>
      </w:r>
      <w:r w:rsidR="00EE486A" w:rsidRPr="005633E2">
        <w:rPr>
          <w:rFonts w:ascii="Times New Roman" w:hAnsi="Times New Roman"/>
          <w:sz w:val="24"/>
          <w:szCs w:val="24"/>
        </w:rPr>
        <w:t>Уманської міської територіальної громади</w:t>
      </w:r>
      <w:r>
        <w:rPr>
          <w:rFonts w:ascii="Times New Roman" w:hAnsi="Times New Roman"/>
          <w:sz w:val="24"/>
          <w:szCs w:val="24"/>
        </w:rPr>
        <w:t>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Вивезення гілок, трухнявих елементів дерева тощо, що не відповідає вимогам паливних дров, відповідно до ТУ У 16.1-00994207-005:2018 «Деревина дров’яна. Класифікація, облік, технічні вимоги», повинно здійснюватися на міське сміттєзвалище (полігон) твердих побутових відходів, яке розташовано </w:t>
      </w:r>
      <w:r w:rsidRPr="000B5C97">
        <w:rPr>
          <w:rFonts w:ascii="Times New Roman" w:hAnsi="Times New Roman"/>
          <w:sz w:val="24"/>
          <w:szCs w:val="24"/>
        </w:rPr>
        <w:t>на земельній ділянці с. Собківка (Дмитрушківська сільська об’єднана територіальна громада)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5C97">
        <w:rPr>
          <w:rFonts w:ascii="Times New Roman" w:hAnsi="Times New Roman"/>
          <w:sz w:val="24"/>
          <w:szCs w:val="24"/>
        </w:rPr>
        <w:t>Право постійного користування даною земельною ділянкою надано Уманському комунальному підприємству «Комунальник».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Учасники у складі тендерної пропозиції надають копію діючого договору про надання послуг по захороненню побутових відходів та довідку Уманського комунального підприємства «Комунальник» щодо відсутності в учасника заборгованості за даним договором. Дата видачі зазначеної довідки має бути не раніше дати оприлюднення оголошення про проведення даної закупівлі.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Деревина, яка відповідає вимогам паливних дров, передається Учасником малозабезпеченим верствам населення відповідно до списків пільгових категорій громадян для забезпечення їх безкоштовними паливними дровами в 2024 році, наданих Замовнику Управлінням праці та соціального захисту населення Уманської міської ради. Способом документального підтвердження учасником виконання зазначеної вище вимоги є відповідний гарантійний лист, складений Учасником у довільній формі.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Враховуючи специфіку наданих послуг, в разі термінової необхідності на вимогу Замовника, Учасник зобов’язаний виконувати послуги в робочі, святкові, вихідні і інші неробочі дні, про що надається відповідний гарантійний лист.</w:t>
      </w:r>
    </w:p>
    <w:p w:rsidR="002360D1" w:rsidRDefault="002360D1" w:rsidP="00412B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12BAE" w:rsidRPr="009C55DA">
        <w:rPr>
          <w:rFonts w:ascii="Times New Roman" w:eastAsia="Times New Roman" w:hAnsi="Times New Roman"/>
          <w:bCs/>
          <w:sz w:val="24"/>
          <w:szCs w:val="24"/>
        </w:rPr>
        <w:t>Учасник</w:t>
      </w:r>
      <w:r w:rsidR="00412BAE" w:rsidRPr="0083190B">
        <w:rPr>
          <w:rFonts w:ascii="Times New Roman" w:eastAsia="Times New Roman" w:hAnsi="Times New Roman"/>
          <w:bCs/>
          <w:sz w:val="24"/>
          <w:szCs w:val="24"/>
        </w:rPr>
        <w:t xml:space="preserve"> у складі своєї тендерної пропозиції, з метою </w:t>
      </w:r>
      <w:r w:rsidR="00412BAE" w:rsidRPr="005D0591">
        <w:rPr>
          <w:rFonts w:ascii="Times New Roman" w:eastAsia="Times New Roman" w:hAnsi="Times New Roman"/>
          <w:bCs/>
          <w:sz w:val="24"/>
          <w:szCs w:val="24"/>
        </w:rPr>
        <w:t>підтвердження технічних, якісних та кількісних характеристик предмета закупівлі,</w:t>
      </w:r>
      <w:r w:rsidR="00412BAE" w:rsidRPr="008319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12BAE" w:rsidRPr="005012ED">
        <w:rPr>
          <w:rFonts w:ascii="Times New Roman" w:eastAsia="Times New Roman" w:hAnsi="Times New Roman"/>
          <w:bCs/>
          <w:sz w:val="24"/>
          <w:szCs w:val="24"/>
        </w:rPr>
        <w:t xml:space="preserve">надає </w:t>
      </w:r>
      <w:r w:rsidR="00412BAE" w:rsidRPr="005D0591">
        <w:rPr>
          <w:rFonts w:ascii="Times New Roman" w:eastAsia="Times New Roman" w:hAnsi="Times New Roman"/>
          <w:bCs/>
          <w:sz w:val="24"/>
          <w:szCs w:val="24"/>
        </w:rPr>
        <w:t xml:space="preserve">розрахунок вартості послуг у </w:t>
      </w:r>
      <w:r w:rsidR="00412BAE">
        <w:rPr>
          <w:rFonts w:ascii="Times New Roman" w:eastAsia="Times New Roman" w:hAnsi="Times New Roman"/>
          <w:bCs/>
          <w:sz w:val="24"/>
          <w:szCs w:val="24"/>
        </w:rPr>
        <w:t xml:space="preserve">формі, </w:t>
      </w:r>
      <w:r w:rsidR="00412BAE" w:rsidRPr="005D0591">
        <w:rPr>
          <w:rFonts w:ascii="Times New Roman" w:eastAsia="Times New Roman" w:hAnsi="Times New Roman"/>
          <w:bCs/>
          <w:sz w:val="24"/>
          <w:szCs w:val="24"/>
        </w:rPr>
        <w:t xml:space="preserve"> наведеній </w:t>
      </w:r>
      <w:r w:rsidR="00412BAE">
        <w:rPr>
          <w:rFonts w:ascii="Times New Roman" w:eastAsia="Times New Roman" w:hAnsi="Times New Roman"/>
          <w:bCs/>
          <w:sz w:val="24"/>
          <w:szCs w:val="24"/>
        </w:rPr>
        <w:t xml:space="preserve">у </w:t>
      </w:r>
      <w:r w:rsidR="00412BAE" w:rsidRPr="005D0591">
        <w:rPr>
          <w:rFonts w:ascii="Times New Roman" w:eastAsia="Times New Roman" w:hAnsi="Times New Roman"/>
          <w:bCs/>
          <w:sz w:val="24"/>
          <w:szCs w:val="24"/>
        </w:rPr>
        <w:t>таблиця 1</w:t>
      </w:r>
      <w:r>
        <w:rPr>
          <w:rFonts w:ascii="Times New Roman" w:hAnsi="Times New Roman"/>
          <w:sz w:val="24"/>
          <w:szCs w:val="24"/>
        </w:rPr>
        <w:t>:</w:t>
      </w:r>
    </w:p>
    <w:p w:rsidR="00F534A9" w:rsidRDefault="00F534A9" w:rsidP="00412B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4A9" w:rsidRDefault="00F534A9" w:rsidP="00412B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4A9" w:rsidRDefault="00F534A9" w:rsidP="00412B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4A9" w:rsidRPr="00412BAE" w:rsidRDefault="00F534A9" w:rsidP="00412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81627" w:rsidRDefault="00D81627" w:rsidP="00D81627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Таблиця 1</w:t>
      </w:r>
    </w:p>
    <w:p w:rsidR="00D81627" w:rsidRPr="00412BAE" w:rsidRDefault="00D81627" w:rsidP="00D81627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412BAE">
        <w:rPr>
          <w:rFonts w:ascii="Times New Roman" w:hAnsi="Times New Roman"/>
          <w:b/>
          <w:sz w:val="24"/>
          <w:szCs w:val="24"/>
        </w:rPr>
        <w:t>Розрахунок вартості послуг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959"/>
        <w:gridCol w:w="1167"/>
        <w:gridCol w:w="1369"/>
        <w:gridCol w:w="7"/>
        <w:gridCol w:w="1379"/>
        <w:gridCol w:w="7"/>
        <w:gridCol w:w="2625"/>
      </w:tblGrid>
      <w:tr w:rsidR="00145CF3" w:rsidRPr="00EE486A" w:rsidTr="004B6C63">
        <w:trPr>
          <w:tblHeader/>
          <w:jc w:val="center"/>
        </w:trPr>
        <w:tc>
          <w:tcPr>
            <w:tcW w:w="421" w:type="dxa"/>
            <w:vAlign w:val="center"/>
          </w:tcPr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559" w:type="dxa"/>
            <w:vAlign w:val="center"/>
          </w:tcPr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959" w:type="dxa"/>
            <w:vAlign w:val="center"/>
          </w:tcPr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Одиниця</w:t>
            </w:r>
          </w:p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</w:p>
        </w:tc>
        <w:tc>
          <w:tcPr>
            <w:tcW w:w="1167" w:type="dxa"/>
            <w:vAlign w:val="center"/>
          </w:tcPr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369" w:type="dxa"/>
            <w:vAlign w:val="center"/>
          </w:tcPr>
          <w:p w:rsidR="00145CF3" w:rsidRPr="00145CF3" w:rsidRDefault="00145CF3" w:rsidP="0014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F3">
              <w:rPr>
                <w:rFonts w:ascii="Times New Roman" w:hAnsi="Times New Roman" w:cs="Times New Roman"/>
                <w:sz w:val="20"/>
                <w:szCs w:val="20"/>
              </w:rPr>
              <w:t>Ціна за одиницю, грн., без ПДВ</w:t>
            </w:r>
          </w:p>
        </w:tc>
        <w:tc>
          <w:tcPr>
            <w:tcW w:w="1386" w:type="dxa"/>
            <w:gridSpan w:val="2"/>
            <w:vAlign w:val="center"/>
          </w:tcPr>
          <w:p w:rsidR="00145CF3" w:rsidRPr="00145CF3" w:rsidRDefault="00145CF3" w:rsidP="0014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F3">
              <w:rPr>
                <w:rFonts w:ascii="Times New Roman" w:hAnsi="Times New Roman" w:cs="Times New Roman"/>
                <w:sz w:val="20"/>
                <w:szCs w:val="20"/>
              </w:rPr>
              <w:t>Загальна вартість, грн., без ПДВ</w:t>
            </w:r>
          </w:p>
        </w:tc>
        <w:tc>
          <w:tcPr>
            <w:tcW w:w="2632" w:type="dxa"/>
            <w:gridSpan w:val="2"/>
            <w:vAlign w:val="center"/>
          </w:tcPr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EE486A" w:rsidRPr="00EE486A" w:rsidTr="004B6C63">
        <w:trPr>
          <w:tblHeader/>
          <w:jc w:val="center"/>
        </w:trPr>
        <w:tc>
          <w:tcPr>
            <w:tcW w:w="421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2" w:type="dxa"/>
            <w:gridSpan w:val="2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486A" w:rsidRPr="00EE486A" w:rsidTr="004B6C63">
        <w:trPr>
          <w:jc w:val="center"/>
        </w:trPr>
        <w:tc>
          <w:tcPr>
            <w:tcW w:w="421" w:type="dxa"/>
          </w:tcPr>
          <w:p w:rsidR="00EE486A" w:rsidRPr="00EE486A" w:rsidRDefault="00F534A9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EE486A" w:rsidRPr="00EE486A" w:rsidRDefault="00EE486A" w:rsidP="004B6C6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Видалення дерев уражених омелою (Viscum) частинами із застосуванням автогідропідіймачів</w:t>
            </w:r>
          </w:p>
        </w:tc>
        <w:tc>
          <w:tcPr>
            <w:tcW w:w="95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67" w:type="dxa"/>
          </w:tcPr>
          <w:p w:rsidR="00EE486A" w:rsidRPr="00EE486A" w:rsidRDefault="00F534A9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36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</w:tcPr>
          <w:p w:rsidR="00EE486A" w:rsidRPr="00EE486A" w:rsidRDefault="00F534A9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У разі ураження крони дерев омелою білою більш ніж на 60%, вони підлягають видаленню</w:t>
            </w:r>
          </w:p>
        </w:tc>
      </w:tr>
      <w:tr w:rsidR="00EE486A" w:rsidRPr="00EE486A" w:rsidTr="004B6C63">
        <w:trPr>
          <w:jc w:val="center"/>
        </w:trPr>
        <w:tc>
          <w:tcPr>
            <w:tcW w:w="421" w:type="dxa"/>
          </w:tcPr>
          <w:p w:rsidR="00EE486A" w:rsidRPr="00EE486A" w:rsidRDefault="00F534A9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EE486A" w:rsidRPr="00EE486A" w:rsidRDefault="00EE486A" w:rsidP="004B6C6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Механічний метод боротьби з омелою (Viscum),</w:t>
            </w:r>
            <w:r w:rsidR="004B6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формувальне обрізування дерев висотою більше 5 м</w:t>
            </w:r>
          </w:p>
        </w:tc>
        <w:tc>
          <w:tcPr>
            <w:tcW w:w="95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67" w:type="dxa"/>
          </w:tcPr>
          <w:p w:rsidR="00EE486A" w:rsidRPr="00EE486A" w:rsidRDefault="00F534A9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36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 Для боротьби з </w:t>
            </w:r>
            <w:bookmarkStart w:id="0" w:name="w1_3"/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"https://zakon.rada.gov.ua/laws/show/z0301-94?find=1&amp;text=%D0%BE%D0%BC%D0%B5%D0%BB" \l "w1_4" </w:instrTex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омел</w: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ою білою застосовується механічний метод - обрізування гілок з кущами </w:t>
            </w:r>
            <w:bookmarkStart w:id="1" w:name="w1_4"/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"https://zakon.rada.gov.ua/laws/show/z0301-94?find=1&amp;text=%D0%BE%D0%BC%D0%B5%D0%BB" \l "w1_5" </w:instrTex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омел</w: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и, які не плодоносять, на </w: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br/>
              <w:t>5-7 см, а з  плодоносними - не  менш 15-20 см нижче  місця прикріплення її до гілок</w:t>
            </w:r>
          </w:p>
        </w:tc>
      </w:tr>
      <w:tr w:rsidR="00EE486A" w:rsidRPr="00EE486A" w:rsidTr="004B6C63">
        <w:trPr>
          <w:jc w:val="center"/>
        </w:trPr>
        <w:tc>
          <w:tcPr>
            <w:tcW w:w="421" w:type="dxa"/>
          </w:tcPr>
          <w:p w:rsidR="00EE486A" w:rsidRPr="00EE486A" w:rsidRDefault="00F534A9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EE486A" w:rsidRPr="00EE486A" w:rsidRDefault="00EE486A" w:rsidP="004B6C6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Завантаження зрізаних гілок листяних порід</w:t>
            </w:r>
          </w:p>
        </w:tc>
        <w:tc>
          <w:tcPr>
            <w:tcW w:w="95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67" w:type="dxa"/>
          </w:tcPr>
          <w:p w:rsidR="00EE486A" w:rsidRPr="00EE486A" w:rsidRDefault="00F534A9" w:rsidP="0018529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136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486A" w:rsidRPr="00EE486A" w:rsidTr="004B6C63">
        <w:trPr>
          <w:jc w:val="center"/>
        </w:trPr>
        <w:tc>
          <w:tcPr>
            <w:tcW w:w="421" w:type="dxa"/>
          </w:tcPr>
          <w:p w:rsidR="00EE486A" w:rsidRPr="00EE486A" w:rsidRDefault="00F534A9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EE486A" w:rsidRPr="00EE486A" w:rsidRDefault="00EE486A" w:rsidP="004B6C6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Превезення гілля та деревини</w:t>
            </w:r>
          </w:p>
        </w:tc>
        <w:tc>
          <w:tcPr>
            <w:tcW w:w="95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67" w:type="dxa"/>
          </w:tcPr>
          <w:p w:rsidR="00EE486A" w:rsidRPr="00EE486A" w:rsidRDefault="00F534A9" w:rsidP="0018529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136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486A" w:rsidRPr="00EE486A" w:rsidTr="004B6C63">
        <w:trPr>
          <w:jc w:val="center"/>
        </w:trPr>
        <w:tc>
          <w:tcPr>
            <w:tcW w:w="421" w:type="dxa"/>
          </w:tcPr>
          <w:p w:rsidR="00EE486A" w:rsidRPr="00EE486A" w:rsidRDefault="00F534A9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EE486A" w:rsidRPr="00EE486A" w:rsidRDefault="00EE486A" w:rsidP="004B6C6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Послуги із поводження з відходами (захоронення) на сіттєзвалищі</w:t>
            </w:r>
          </w:p>
        </w:tc>
        <w:tc>
          <w:tcPr>
            <w:tcW w:w="95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67" w:type="dxa"/>
          </w:tcPr>
          <w:p w:rsidR="00EE486A" w:rsidRPr="00EE486A" w:rsidRDefault="00F534A9" w:rsidP="0018529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136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</w:tcPr>
          <w:p w:rsidR="00EE486A" w:rsidRPr="00EE486A" w:rsidRDefault="00F534A9" w:rsidP="00F534A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Захоронення </w:t>
            </w:r>
            <w:r w:rsidR="004B6C63">
              <w:rPr>
                <w:rFonts w:ascii="Times New Roman" w:hAnsi="Times New Roman" w:cs="Times New Roman"/>
                <w:sz w:val="20"/>
                <w:szCs w:val="20"/>
              </w:rPr>
              <w:t xml:space="preserve">рослинних решток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здійснюється на </w:t>
            </w:r>
            <w:r w:rsidR="00EE486A"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4A9">
              <w:rPr>
                <w:rFonts w:ascii="Times New Roman" w:hAnsi="Times New Roman" w:cs="Times New Roman"/>
                <w:sz w:val="20"/>
                <w:szCs w:val="20"/>
              </w:rPr>
              <w:t>міськ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F534A9">
              <w:rPr>
                <w:rFonts w:ascii="Times New Roman" w:hAnsi="Times New Roman" w:cs="Times New Roman"/>
                <w:sz w:val="20"/>
                <w:szCs w:val="20"/>
              </w:rPr>
              <w:t xml:space="preserve"> сміттєзвалищ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F534A9">
              <w:rPr>
                <w:rFonts w:ascii="Times New Roman" w:hAnsi="Times New Roman" w:cs="Times New Roman"/>
                <w:sz w:val="20"/>
                <w:szCs w:val="20"/>
              </w:rPr>
              <w:t xml:space="preserve"> (полігон) твердих побутових відходів</w:t>
            </w:r>
          </w:p>
        </w:tc>
      </w:tr>
      <w:tr w:rsidR="00185298" w:rsidRPr="00EE486A" w:rsidTr="004B6C63">
        <w:trPr>
          <w:jc w:val="center"/>
        </w:trPr>
        <w:tc>
          <w:tcPr>
            <w:tcW w:w="5482" w:type="dxa"/>
            <w:gridSpan w:val="6"/>
          </w:tcPr>
          <w:p w:rsidR="00185298" w:rsidRPr="00185298" w:rsidRDefault="00185298" w:rsidP="0018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298">
              <w:rPr>
                <w:rFonts w:ascii="Times New Roman" w:hAnsi="Times New Roman" w:cs="Times New Roman"/>
                <w:sz w:val="20"/>
                <w:szCs w:val="20"/>
              </w:rPr>
              <w:t>Всього без урахування ПДВ:</w:t>
            </w:r>
          </w:p>
        </w:tc>
        <w:tc>
          <w:tcPr>
            <w:tcW w:w="1386" w:type="dxa"/>
            <w:gridSpan w:val="2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98" w:rsidRPr="00EE486A" w:rsidTr="004B6C63">
        <w:trPr>
          <w:jc w:val="center"/>
        </w:trPr>
        <w:tc>
          <w:tcPr>
            <w:tcW w:w="5482" w:type="dxa"/>
            <w:gridSpan w:val="6"/>
          </w:tcPr>
          <w:p w:rsidR="00185298" w:rsidRPr="00185298" w:rsidRDefault="00185298" w:rsidP="0018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298">
              <w:rPr>
                <w:rFonts w:ascii="Times New Roman" w:hAnsi="Times New Roman" w:cs="Times New Roman"/>
                <w:sz w:val="20"/>
                <w:szCs w:val="20"/>
              </w:rPr>
              <w:t>ПДВ</w:t>
            </w:r>
          </w:p>
        </w:tc>
        <w:tc>
          <w:tcPr>
            <w:tcW w:w="1386" w:type="dxa"/>
            <w:gridSpan w:val="2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98" w:rsidRPr="00EE486A" w:rsidTr="004B6C63">
        <w:trPr>
          <w:jc w:val="center"/>
        </w:trPr>
        <w:tc>
          <w:tcPr>
            <w:tcW w:w="5482" w:type="dxa"/>
            <w:gridSpan w:val="6"/>
          </w:tcPr>
          <w:p w:rsidR="00185298" w:rsidRPr="00185298" w:rsidRDefault="00185298" w:rsidP="00185298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298">
              <w:rPr>
                <w:rFonts w:ascii="Times New Roman" w:hAnsi="Times New Roman" w:cs="Times New Roman"/>
                <w:sz w:val="20"/>
                <w:szCs w:val="20"/>
              </w:rPr>
              <w:t xml:space="preserve">Загальна вартість тендерної пропозиції, грн. з/без ПДВ: </w:t>
            </w:r>
            <w:r w:rsidRPr="00185298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та словами)</w:t>
            </w:r>
          </w:p>
        </w:tc>
        <w:tc>
          <w:tcPr>
            <w:tcW w:w="1386" w:type="dxa"/>
            <w:gridSpan w:val="2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60D1" w:rsidRDefault="002360D1" w:rsidP="00236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Ціна пропозиції Учасника повинна бути розрахована відповідно до чинних нормативних документів та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 необхідні для якісного, своєчасного та в повному обсязі надання послуг замовнику.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доручатимуться для виконання третім особам або субпідрядникам.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2360D1" w:rsidRDefault="002360D1" w:rsidP="00236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:rsidR="002360D1" w:rsidRPr="00106D97" w:rsidRDefault="002360D1" w:rsidP="0023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0D1" w:rsidRDefault="002360D1" w:rsidP="0023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97B" w:rsidRDefault="0061597B" w:rsidP="0061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1597B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5A" w:rsidRDefault="0007225A" w:rsidP="00C80C46">
      <w:pPr>
        <w:spacing w:after="0" w:line="240" w:lineRule="auto"/>
      </w:pPr>
      <w:r>
        <w:separator/>
      </w:r>
    </w:p>
  </w:endnote>
  <w:endnote w:type="continuationSeparator" w:id="0">
    <w:p w:rsidR="0007225A" w:rsidRDefault="0007225A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5A" w:rsidRDefault="0007225A" w:rsidP="00C80C46">
      <w:pPr>
        <w:spacing w:after="0" w:line="240" w:lineRule="auto"/>
      </w:pPr>
      <w:r>
        <w:separator/>
      </w:r>
    </w:p>
  </w:footnote>
  <w:footnote w:type="continuationSeparator" w:id="0">
    <w:p w:rsidR="0007225A" w:rsidRDefault="0007225A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3CDA"/>
    <w:rsid w:val="0003528D"/>
    <w:rsid w:val="000373F0"/>
    <w:rsid w:val="000376E8"/>
    <w:rsid w:val="00044B98"/>
    <w:rsid w:val="00053CBB"/>
    <w:rsid w:val="000555FA"/>
    <w:rsid w:val="000578EB"/>
    <w:rsid w:val="00062EAE"/>
    <w:rsid w:val="00065F0B"/>
    <w:rsid w:val="00066A6A"/>
    <w:rsid w:val="0007225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45CF3"/>
    <w:rsid w:val="0016695C"/>
    <w:rsid w:val="00167B1A"/>
    <w:rsid w:val="00170E99"/>
    <w:rsid w:val="00173A58"/>
    <w:rsid w:val="00182AD2"/>
    <w:rsid w:val="00184793"/>
    <w:rsid w:val="00185298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60D1"/>
    <w:rsid w:val="00237244"/>
    <w:rsid w:val="0023731F"/>
    <w:rsid w:val="00245AB7"/>
    <w:rsid w:val="00245C27"/>
    <w:rsid w:val="00245D54"/>
    <w:rsid w:val="00253142"/>
    <w:rsid w:val="00264574"/>
    <w:rsid w:val="00265614"/>
    <w:rsid w:val="00267CCC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C483E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BAE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5562D"/>
    <w:rsid w:val="0047038C"/>
    <w:rsid w:val="00470B24"/>
    <w:rsid w:val="00476CD4"/>
    <w:rsid w:val="0048018C"/>
    <w:rsid w:val="004837A6"/>
    <w:rsid w:val="004853A1"/>
    <w:rsid w:val="00485A32"/>
    <w:rsid w:val="00487324"/>
    <w:rsid w:val="00495515"/>
    <w:rsid w:val="004A2E38"/>
    <w:rsid w:val="004B1CF4"/>
    <w:rsid w:val="004B6C63"/>
    <w:rsid w:val="004D61CC"/>
    <w:rsid w:val="004D7BDC"/>
    <w:rsid w:val="004E27C2"/>
    <w:rsid w:val="004E5B08"/>
    <w:rsid w:val="004E66A4"/>
    <w:rsid w:val="004E7144"/>
    <w:rsid w:val="004F0703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43E1"/>
    <w:rsid w:val="0054687D"/>
    <w:rsid w:val="00554BEB"/>
    <w:rsid w:val="00556FF8"/>
    <w:rsid w:val="005628F4"/>
    <w:rsid w:val="00562BA5"/>
    <w:rsid w:val="005641C3"/>
    <w:rsid w:val="00567DAD"/>
    <w:rsid w:val="00580C98"/>
    <w:rsid w:val="005874BD"/>
    <w:rsid w:val="005903AA"/>
    <w:rsid w:val="005923B5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4D68"/>
    <w:rsid w:val="005D63CE"/>
    <w:rsid w:val="005D799F"/>
    <w:rsid w:val="005E2D77"/>
    <w:rsid w:val="005E7E7C"/>
    <w:rsid w:val="005F232A"/>
    <w:rsid w:val="005F403F"/>
    <w:rsid w:val="005F7C3C"/>
    <w:rsid w:val="0060248D"/>
    <w:rsid w:val="00604AB3"/>
    <w:rsid w:val="0061159B"/>
    <w:rsid w:val="006144F9"/>
    <w:rsid w:val="00615173"/>
    <w:rsid w:val="0061597B"/>
    <w:rsid w:val="006177F3"/>
    <w:rsid w:val="006217DD"/>
    <w:rsid w:val="00631D7F"/>
    <w:rsid w:val="00634A75"/>
    <w:rsid w:val="006373CD"/>
    <w:rsid w:val="0064036E"/>
    <w:rsid w:val="006509E9"/>
    <w:rsid w:val="00657DD3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1B34"/>
    <w:rsid w:val="007742B7"/>
    <w:rsid w:val="00777D83"/>
    <w:rsid w:val="00784594"/>
    <w:rsid w:val="00792027"/>
    <w:rsid w:val="007A32CB"/>
    <w:rsid w:val="007A52A8"/>
    <w:rsid w:val="007B0D05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5E4C"/>
    <w:rsid w:val="009F643C"/>
    <w:rsid w:val="00A00A4B"/>
    <w:rsid w:val="00A00BFC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3728E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2648"/>
    <w:rsid w:val="00B848D6"/>
    <w:rsid w:val="00B94E79"/>
    <w:rsid w:val="00B97385"/>
    <w:rsid w:val="00BA0A3E"/>
    <w:rsid w:val="00BA1A07"/>
    <w:rsid w:val="00BB639C"/>
    <w:rsid w:val="00BC08BC"/>
    <w:rsid w:val="00BE5078"/>
    <w:rsid w:val="00BE5CB2"/>
    <w:rsid w:val="00BF75B5"/>
    <w:rsid w:val="00C06FEF"/>
    <w:rsid w:val="00C12301"/>
    <w:rsid w:val="00C1265C"/>
    <w:rsid w:val="00C152C2"/>
    <w:rsid w:val="00C15609"/>
    <w:rsid w:val="00C177BD"/>
    <w:rsid w:val="00C216A7"/>
    <w:rsid w:val="00C31DB8"/>
    <w:rsid w:val="00C31DD5"/>
    <w:rsid w:val="00C341B4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36BD"/>
    <w:rsid w:val="00D544DA"/>
    <w:rsid w:val="00D63681"/>
    <w:rsid w:val="00D6666B"/>
    <w:rsid w:val="00D66E18"/>
    <w:rsid w:val="00D81627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4637C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6A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2574"/>
    <w:rsid w:val="00F454DF"/>
    <w:rsid w:val="00F456F0"/>
    <w:rsid w:val="00F51D92"/>
    <w:rsid w:val="00F52D07"/>
    <w:rsid w:val="00F534A9"/>
    <w:rsid w:val="00F64871"/>
    <w:rsid w:val="00F67A8A"/>
    <w:rsid w:val="00F77DFB"/>
    <w:rsid w:val="00F81734"/>
    <w:rsid w:val="00F866C6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1588"/>
  <w15:docId w15:val="{EE56DA54-EBF4-4AE5-A9B9-9F840125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99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C6D2-7985-431D-AE37-0EEDCA09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2023-05-22T04:56:00Z</cp:lastPrinted>
  <dcterms:created xsi:type="dcterms:W3CDTF">2021-09-22T14:07:00Z</dcterms:created>
  <dcterms:modified xsi:type="dcterms:W3CDTF">2024-02-05T14:08:00Z</dcterms:modified>
</cp:coreProperties>
</file>