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fill="FFFFFF"/>
        <w:suppressAutoHyphens w:val="true"/>
        <w:spacing w:lineRule="auto" w:line="240" w:before="0" w:after="0"/>
        <w:ind w:hanging="0" w:start="30" w:end="0"/>
        <w:jc w:val="end"/>
        <w:rPr>
          <w:rFonts w:ascii="Times New Roman" w:hAnsi="Times New Roman"/>
          <w:b/>
          <w:bCs/>
          <w:color w:val="000000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ar-SA"/>
        </w:rPr>
        <w:t>Додаток № 1</w:t>
      </w:r>
    </w:p>
    <w:p>
      <w:pPr>
        <w:pStyle w:val="Normal"/>
        <w:shd w:val="clear" w:fill="FFFFFF"/>
        <w:spacing w:lineRule="auto" w:line="240" w:before="0" w:after="0"/>
        <w:ind w:firstLine="450" w:start="5400" w:end="0"/>
        <w:jc w:val="end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до тендерної документації 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/>
          <w:b/>
          <w:bCs/>
          <w:sz w:val="16"/>
          <w:szCs w:val="16"/>
          <w:lang w:val="uk-UA" w:eastAsia="ar-SA"/>
        </w:rPr>
      </w:pPr>
      <w:r>
        <w:rPr>
          <w:rFonts w:ascii="Times New Roman" w:hAnsi="Times New Roman"/>
          <w:b/>
          <w:bCs/>
          <w:sz w:val="16"/>
          <w:szCs w:val="16"/>
          <w:lang w:val="uk-UA" w:eastAsia="ar-SA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lang w:val="uk-UA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uk-UA" w:eastAsia="ar-SA"/>
        </w:rPr>
        <w:tab/>
        <w:t xml:space="preserve">1. Інформація про необхідні технічні, якісні та кількісні характеристики предмета закупівлі, у тому числі відповідна технічна специфікація </w:t>
      </w:r>
      <w:r>
        <w:rPr>
          <w:rFonts w:eastAsia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uk-UA" w:eastAsia="ar-SA"/>
        </w:rPr>
        <w:t>“Труби та супутні вироби(код ДК 021:2015 — 44160000-9 - Магістралі, трубопроводи, труби, обсадні труби, тюбінги та супутні вироби)”:</w:t>
      </w:r>
    </w:p>
    <w:tbl>
      <w:tblPr>
        <w:tblW w:w="10320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0" w:lastRow="0" w:firstColumn="1" w:lastColumn="0" w:noHBand="0" w:val="00a0"/>
      </w:tblPr>
      <w:tblGrid>
        <w:gridCol w:w="672"/>
        <w:gridCol w:w="2850"/>
        <w:gridCol w:w="4308"/>
        <w:gridCol w:w="1165"/>
        <w:gridCol w:w="1325"/>
      </w:tblGrid>
      <w:tr>
        <w:trPr/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Характеристика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Од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иниці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виміру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Кількість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Трійник поліпропіленовий з'єднувальний «Kalde» (або еквівалент) 20мм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Робочий тиск – PN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 (25 атмосфер)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Діаметр  20 мм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</w:tr>
      <w:tr>
        <w:trPr/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Трійник поліпропіленовий з'єднувальний «Kalde» (або еквівалент) 25мм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Робочий тиск – PN25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(25 атмосфер)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Діаметр  25 мм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>
        <w:trPr>
          <w:trHeight w:val="1502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Трійник поліпропіленовий з'єднувальний «Kalde» (або еквівалент) 32мм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Робочий тиск – PN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 (25 атмосфер)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Діаметр  32 мм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30</w:t>
            </w:r>
          </w:p>
        </w:tc>
      </w:tr>
      <w:tr>
        <w:trPr>
          <w:trHeight w:val="1567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Муфта поліпропіленова «Kalde» (або еквівалент) 20мм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Робочий тиск – PN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 (25 атмосфер)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Діаметр  20 мм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Муфта поліпропіленова «Kalde» (або еквівалент) 25мм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Робочий тиск – PN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 (25 атмосфер)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Діаметр  25 мм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Муфта поліпропіленова «Kalde» (або еквівалент) 32мм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Робочий тиск – PN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 (25 атмосфер)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Діаметр  32 мм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>
        <w:trPr>
          <w:trHeight w:val="252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Муфта розбірна «Kalde» (або еквівалент)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внутрішнім різьбленням ф20х1/2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Робочий тиск – PN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 (25 атмосфер)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Діаметр  25 мм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20</w:t>
            </w:r>
          </w:p>
        </w:tc>
      </w:tr>
      <w:tr>
        <w:trPr>
          <w:trHeight w:val="1595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Муфта розбірна «Kalde» (або еквівалент)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внутрішнім різьбленням ф25х1/2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Робочий тиск – PN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 (25 атмосфер)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Діаметр  25 мм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Муфта розбірна «Kalde» (або еквівалент)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 внутрішнім різьбленням ф32х1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Робочий тиск – PN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 (25 атмосфер)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Діаметр  32 мм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20</w:t>
            </w:r>
          </w:p>
        </w:tc>
      </w:tr>
      <w:tr>
        <w:trPr>
          <w:trHeight w:val="348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Кутник поліпропіленовий «Kalde» (або еквівалент) ф20мм 90град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Робочий тиск – PN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 (25 атмосфер)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Діаметр  20 мм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Кут 90 градусів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00</w:t>
            </w:r>
          </w:p>
        </w:tc>
      </w:tr>
      <w:tr>
        <w:trPr>
          <w:trHeight w:val="528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Кутник поліпропіленовий «Kalde» (або еквівалент) ф25мм 90 град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Робочий тиск – PN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 (25 атмосфер)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Діаметр  25 мм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Кут 90 градусів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>
        <w:trPr>
          <w:trHeight w:val="528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Кутник поліпропіленовий «Kalde» (або еквівалент) ф32мм 90 град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Робочий тиск – PN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 (25 атмосфер)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Діаметр  32 мм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Кут 90 градусів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Кутник поліпропіленовий «Kalde» (або еквівалент) ф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мм 45 град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Робочий тиск – PN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 (25 атмосфер)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Діаметр  32 мм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Кут 45 градусів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Кутник поліпропіленовий «Kalde» (або еквівалент) ф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мм 45 град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Робочий тиск – PN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 (25 атмосфер)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Діаметр  32 мм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Кут 45 градусів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200</w:t>
            </w:r>
          </w:p>
        </w:tc>
      </w:tr>
      <w:tr>
        <w:trPr>
          <w:trHeight w:val="264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Кутник поліпропіленовий «Kalde» (або еквівалент) ф32мм 45 град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Робочий тиск – PN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 (25 атмосфер)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Діаметр  32 мм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Кут 45 градусів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200</w:t>
            </w:r>
          </w:p>
        </w:tc>
      </w:tr>
      <w:tr>
        <w:trPr>
          <w:trHeight w:val="264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Кріплення на поліпропіленову  трубу «Kalde» (або еквівалент) 20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Робочий тиск – PN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 (25 атмосфер)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Діаметр  20 мм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>
        <w:trPr>
          <w:trHeight w:val="264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Кріплення на поліпропіленову  трубу «Kalde» (або еквівалент) 25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Робочий тиск – PN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 (25 атмосфер)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Діаметр  25 мм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00</w:t>
            </w:r>
          </w:p>
        </w:tc>
      </w:tr>
      <w:tr>
        <w:trPr>
          <w:trHeight w:val="264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Кріплення на поліпропіленову  трубу «Kalde» (або еквівалент) 32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Робочий тиск – PN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 (25 атмосфер)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Діаметр  32 мм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00</w:t>
            </w:r>
          </w:p>
        </w:tc>
      </w:tr>
      <w:tr>
        <w:trPr>
          <w:trHeight w:val="264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Кран кульовий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Q152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PROFESSIONAL 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½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PN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40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(або еквівалент)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Різьба в дюймах :1/2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Номінальний прохід – Ду:15 мм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Номінальний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тиск: 40 атм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корпусу: сантехнічна гарячепресована латунь CW614N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Клас герметичності затвора : А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Мінімальний ресурс: 15000 циклів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Діапазон температур: від -20С до +120С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Вага – 162 грам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Форма ручки - бабочка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</w:tr>
      <w:tr>
        <w:trPr>
          <w:trHeight w:val="2474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20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Труба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«Kalde» (або еквівалент)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20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зі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скловолокном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PPR PIPE 2.8mm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Матеріал труби -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Зовнішній діаметр – 20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Тип армування – скловолокно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Тип зєднання - пайка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Товщина стінки – 2,8 мм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Температура теплоносія – від 0 до 90С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Робочий тиск  - 25Бар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21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Труба «Kalde» (або еквівалент) 25 зі скловолокном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PPR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PIPE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3,3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mm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Матеріал труби -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Зовнішній діаметр – 25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Тип армування – скловолокно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Тип зєднання - пайка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Товщина стінки – 3,3 мм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Температура теплоносія – від 0 до 90С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Робочий тиск  - 25Бар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400</w:t>
            </w:r>
          </w:p>
        </w:tc>
      </w:tr>
      <w:tr>
        <w:trPr>
          <w:trHeight w:val="168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22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Труба «Kalde» (або еквівалент) 32 зі скловолокном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PPR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PIPE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4,4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mm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Матеріал труби -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Зовнішній діаметр – 32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Тип армування – скловолокно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Тип зєднання - пайка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Товщина стінки – 4,4 мм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Температура теплоносія – від 0 до 90С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Робочий тиск  - 25Бар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23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Муфта  з наружною різьбою 25х3/4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Діаметр труби – 25 мм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Тип зєднання – пайка, різьба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Розмір різьби – 3/4 в дюймах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20</w:t>
            </w:r>
          </w:p>
        </w:tc>
      </w:tr>
      <w:tr>
        <w:trPr>
          <w:trHeight w:val="324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Муфта з наружною різьбою 20х1/2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Діаметр труби – 20 мм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Тип зєднання – пайка, різьба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Розмір різьби – 1/2 в дюймах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20</w:t>
            </w:r>
          </w:p>
        </w:tc>
      </w:tr>
      <w:tr>
        <w:trPr>
          <w:trHeight w:val="504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Муфта  з наружною різьбою 32/1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Діаметр труби – 32 мм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Тип зєднання – пайка, різьба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Розмір різьби – 1 дюйм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10</w:t>
            </w:r>
          </w:p>
        </w:tc>
      </w:tr>
      <w:tr>
        <w:trPr>
          <w:trHeight w:val="156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26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Кран радіаторний 20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кутовий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40</w:t>
            </w:r>
          </w:p>
        </w:tc>
      </w:tr>
      <w:tr>
        <w:trPr>
          <w:trHeight w:val="348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27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Кран радіаторний 20</w:t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прямий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40</w:t>
            </w:r>
          </w:p>
        </w:tc>
      </w:tr>
      <w:tr>
        <w:trPr>
          <w:trHeight w:val="3948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28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Підкладка фольгована ППЕ-Л 3мм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Вид основної серовини - органічне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Тип покриття – фольгований з одного боку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Товщина вспіненого шару – 3 мм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Наявність клейового шару – немає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Мінімальна робоча температура  -50С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Максимальна робоча температура +120С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Коефіцієнт теплового покриття – 97%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Ширина – 1 метр</w:t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60</w:t>
            </w:r>
          </w:p>
        </w:tc>
      </w:tr>
      <w:tr>
        <w:trPr>
          <w:trHeight w:val="336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29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Муфта редукційна 32х25 труба/труба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Діаметр переходу – з 32 мм на 25 мм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Тип зєднання – сполучна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  <w:tr>
        <w:trPr>
          <w:trHeight w:val="156" w:hRule="atLeast"/>
        </w:trPr>
        <w:tc>
          <w:tcPr>
            <w:tcW w:w="6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30</w:t>
            </w:r>
          </w:p>
        </w:tc>
        <w:tc>
          <w:tcPr>
            <w:tcW w:w="28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Муфта редукційна 25х20 труба/труба</w:t>
            </w:r>
          </w:p>
        </w:tc>
        <w:tc>
          <w:tcPr>
            <w:tcW w:w="43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Матеріал корпусу – поліпропилен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Діаметр переходу – з 25 мм на 20 мм</w:t>
            </w:r>
          </w:p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Тип зєднання – сполучна</w:t>
            </w:r>
            <w:bookmarkStart w:id="0" w:name="_GoBack_Copy_1"/>
            <w:bookmarkEnd w:id="0"/>
          </w:p>
        </w:tc>
        <w:tc>
          <w:tcPr>
            <w:tcW w:w="1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3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196" w:leader="none"/>
              </w:tabs>
              <w:spacing w:lineRule="auto" w:line="276" w:before="0" w:after="20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100</w:t>
            </w:r>
          </w:p>
        </w:tc>
      </w:tr>
    </w:tbl>
    <w:p>
      <w:pPr>
        <w:pStyle w:val="Normal"/>
        <w:spacing w:lineRule="auto" w:line="276" w:before="0" w:after="0"/>
        <w:jc w:val="both"/>
        <w:rPr>
          <w:rFonts w:ascii="Times New Roman" w:hAnsi="Times New Roman"/>
          <w:i/>
          <w:i/>
          <w:sz w:val="16"/>
          <w:szCs w:val="16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uk-UA" w:eastAsia="uk-U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0"/>
          <w:szCs w:val="20"/>
          <w:lang w:val="uk-UA" w:eastAsia="uk-UA"/>
        </w:rPr>
        <w:t>*</w:t>
      </w:r>
      <w:r>
        <w:rPr>
          <w:rFonts w:eastAsia="Times New Roman" w:cs="Times New Roman" w:ascii="Times New Roman" w:hAnsi="Times New Roman"/>
          <w:b w:val="false"/>
          <w:bCs w:val="false"/>
          <w:i/>
          <w:iCs w:val="false"/>
          <w:color w:val="000000"/>
          <w:sz w:val="20"/>
          <w:szCs w:val="20"/>
          <w:lang w:val="uk-UA" w:eastAsia="uk-UA"/>
        </w:rPr>
        <w:t>Якщо технічна специфікація містить посилання на конкретну торговельну марку чи фірму, можна пропонувати еквівалент при умові, що це не призведе до погіршення технічних та якісних характеристик товару і він буде мати ті ж самі функціональні характеристики, склад, призначення, застосування та якість. Не відповідність характеристик еквіваленту вимогам до предмету закупівлі буде підставою для відхилення.</w:t>
      </w:r>
    </w:p>
    <w:p>
      <w:pPr>
        <w:pStyle w:val="Normal"/>
        <w:widowControl w:val="false"/>
        <w:tabs>
          <w:tab w:val="clear" w:pos="709"/>
          <w:tab w:val="left" w:pos="735" w:leader="none"/>
          <w:tab w:val="center" w:pos="4677" w:leader="none"/>
        </w:tabs>
        <w:spacing w:lineRule="auto" w:line="240" w:before="0"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35" w:leader="none"/>
          <w:tab w:val="center" w:pos="4677" w:leader="none"/>
        </w:tabs>
        <w:spacing w:lineRule="auto" w:line="240" w:before="0"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ЗАГАЛЬНІ ВИМОГИ</w:t>
      </w:r>
    </w:p>
    <w:p>
      <w:pPr>
        <w:pStyle w:val="Normal"/>
        <w:widowControl w:val="false"/>
        <w:tabs>
          <w:tab w:val="clear" w:pos="709"/>
          <w:tab w:val="left" w:pos="735" w:leader="none"/>
          <w:tab w:val="center" w:pos="4677" w:leader="none"/>
        </w:tabs>
        <w:spacing w:lineRule="auto" w:line="240" w:before="0"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2.1. Строк поставки товару: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до 31.12.2023 р. </w:t>
      </w:r>
    </w:p>
    <w:p>
      <w:pPr>
        <w:pStyle w:val="Normal"/>
        <w:widowControl w:val="false"/>
        <w:spacing w:lineRule="auto" w:line="360" w:before="0" w:after="0"/>
        <w:contextualSpacing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2.2. Місце поставки товару: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Україна, 68100, Одеська</w:t>
      </w:r>
      <w:r>
        <w:rPr>
          <w:rFonts w:ascii="Times New Roman" w:hAnsi="Times New Roman"/>
          <w:color w:val="auto"/>
          <w:sz w:val="24"/>
          <w:szCs w:val="24"/>
        </w:rPr>
        <w:t xml:space="preserve"> область, місто Татарбунари, вулиця Гульченко Романа, будинок 16.</w:t>
      </w:r>
    </w:p>
    <w:p>
      <w:pPr>
        <w:pStyle w:val="Normal"/>
        <w:widowControl w:val="false"/>
        <w:tabs>
          <w:tab w:val="clear" w:pos="709"/>
          <w:tab w:val="left" w:pos="735" w:leader="none"/>
          <w:tab w:val="center" w:pos="4677" w:leader="none"/>
        </w:tabs>
        <w:spacing w:lineRule="auto" w:line="360" w:before="0" w:after="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2.3.  Товар повинний відповідати діючим державним  стандартам, технічним умовам та чинному законодавству України, щодо показників  якості такого виду товару. </w:t>
      </w:r>
    </w:p>
    <w:p>
      <w:pPr>
        <w:pStyle w:val="Normal"/>
        <w:widowControl w:val="false"/>
        <w:tabs>
          <w:tab w:val="clear" w:pos="709"/>
          <w:tab w:val="left" w:pos="735" w:leader="none"/>
          <w:tab w:val="center" w:pos="4677" w:leader="none"/>
        </w:tabs>
        <w:spacing w:lineRule="auto" w:line="360" w:before="0" w:after="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2.4. При поставці товару повинні бути наявні документи, передбачені чинним законодавством України, які підтверджують відповідні технічні та якісні характеристики товару (сертифікати якості, тощо).    </w:t>
      </w:r>
    </w:p>
    <w:p>
      <w:pPr>
        <w:pStyle w:val="Normal"/>
        <w:widowControl w:val="false"/>
        <w:tabs>
          <w:tab w:val="clear" w:pos="709"/>
          <w:tab w:val="left" w:pos="735" w:leader="none"/>
          <w:tab w:val="center" w:pos="4677" w:leader="none"/>
        </w:tabs>
        <w:spacing w:lineRule="auto" w:line="360" w:before="0" w:after="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eastAsia="Arial" w:ascii="Times New Roman" w:hAnsi="Times New Roman"/>
          <w:bCs/>
          <w:color w:val="auto"/>
          <w:spacing w:val="-4"/>
          <w:sz w:val="24"/>
          <w:szCs w:val="24"/>
          <w:lang w:eastAsia="ru-RU"/>
        </w:rPr>
        <w:t xml:space="preserve">2.5.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 xml:space="preserve"> Товар, що поставляється, повинен бути промаркований у відповідності до вимог стандартів і технічних умов. На товарі повинні бути поміщені товарні знаки, а також інформація про Товар. Інформація про Товар повинна включати: назву Товару; дату виготовлення; дані про основні властивості товару; дані про умови зберігання; термін зберігання; найменування і адресу виробника.</w:t>
      </w:r>
    </w:p>
    <w:p>
      <w:pPr>
        <w:pStyle w:val="Normal"/>
        <w:widowControl w:val="false"/>
        <w:tabs>
          <w:tab w:val="clear" w:pos="709"/>
          <w:tab w:val="left" w:pos="735" w:leader="none"/>
          <w:tab w:val="center" w:pos="4677" w:leader="none"/>
        </w:tabs>
        <w:spacing w:lineRule="auto" w:line="360" w:before="0" w:after="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2.6. Товар повинен бути переданий в упаковці, яка забезпечує збереження Товару за звичайних умов зберігання і транспортування.</w:t>
      </w:r>
    </w:p>
    <w:p>
      <w:pPr>
        <w:pStyle w:val="Normal"/>
        <w:widowControl w:val="false"/>
        <w:tabs>
          <w:tab w:val="clear" w:pos="709"/>
          <w:tab w:val="left" w:pos="735" w:leader="none"/>
          <w:tab w:val="center" w:pos="4677" w:leader="none"/>
        </w:tabs>
        <w:spacing w:lineRule="auto" w:line="360" w:before="0" w:after="0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2.7.  Доставка товару та розвантаження здійснюється за рахунок Постачальника з перевіркою комплектності, цілісності та відсутності пошкоджень в присутності представників Замовника. Товар повинен бути упакованим належним чином.</w:t>
      </w:r>
    </w:p>
    <w:p>
      <w:pPr>
        <w:pStyle w:val="Normal"/>
        <w:widowControl w:val="false"/>
        <w:tabs>
          <w:tab w:val="clear" w:pos="709"/>
          <w:tab w:val="left" w:pos="735" w:leader="none"/>
          <w:tab w:val="center" w:pos="4677" w:leader="none"/>
        </w:tabs>
        <w:spacing w:lineRule="auto" w:line="360"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ru-RU"/>
        </w:rPr>
        <w:t>2.8. Обмін товару та повернення неякісного товару відбувається за рахунок Постачальника.</w:t>
      </w:r>
      <w:bookmarkStart w:id="1" w:name="_GoBack"/>
      <w:bookmarkEnd w:id="1"/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  <w:lang w:val="uk-UA" w:eastAsia="ar-SA"/>
        </w:rPr>
        <w:t xml:space="preserve">3. </w:t>
      </w:r>
      <w:r>
        <w:rPr>
          <w:rFonts w:eastAsia="Times New Roman" w:cs="Times New Roman" w:ascii="Times New Roman" w:hAnsi="Times New Roman"/>
          <w:b/>
          <w:lang w:val="uk-UA" w:eastAsia="uk-UA"/>
        </w:rPr>
        <w:t>Перелік документів, які обов’язково повинен подати учасник процедури закупівлі, як частину своєї тендерної пропозиції для підтвердження прийнятності та відповідності запропонованого товару технічним та якісним характеристикам предмета закупівлі</w:t>
      </w:r>
      <w:r>
        <w:rPr>
          <w:rFonts w:eastAsia="Times New Roman" w:cs="Times New Roman" w:ascii="Times New Roman" w:hAnsi="Times New Roman"/>
          <w:b/>
          <w:bCs/>
          <w:lang w:val="uk-UA" w:eastAsia="uk-UA"/>
        </w:rPr>
        <w:t>:</w:t>
      </w:r>
    </w:p>
    <w:p>
      <w:pPr>
        <w:pStyle w:val="Normal"/>
        <w:widowControl w:val="false"/>
        <w:shd w:val="clear" w:fill="FFFFFF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lang w:val="uk-UA" w:eastAsia="uk-UA"/>
        </w:rPr>
        <w:t xml:space="preserve">3.1.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uk-UA" w:bidi="ar-SA"/>
        </w:rPr>
        <w:t>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>нформаційну довідку (в довільній формі) від учасника процедури закупівлі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uk-UA" w:bidi="ar-SA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ru-RU" w:bidi="ar-SA"/>
        </w:rPr>
        <w:t xml:space="preserve"> яка має містити інформацію, що підтверджує відповідність його тендерної пропозиції технічним, якісним, кількісним та іншим характеристикам до предмету закупівлі, встановленим цим Додатком.</w:t>
      </w:r>
    </w:p>
    <w:p>
      <w:pPr>
        <w:pStyle w:val="NoSpacing"/>
        <w:spacing w:lineRule="auto" w:line="360"/>
        <w:jc w:val="both"/>
        <w:rPr>
          <w:b w:val="false"/>
          <w:bCs w:val="false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3.2. </w:t>
      </w:r>
      <w:r>
        <w:rPr>
          <w:rFonts w:ascii="Times New Roman" w:hAnsi="Times New Roman"/>
          <w:b w:val="false"/>
          <w:bCs w:val="false"/>
          <w:sz w:val="24"/>
          <w:szCs w:val="24"/>
          <w:lang w:val="uk-UA"/>
        </w:rPr>
        <w:t>Копію (-ії) паспорту (-ів) на товар та/або сертифікату (-ів) якості та/або сертифікату (-ів) відповідності та/або декларацій про відповідність та/або інший (-і) документ (-и), які підтверджують якість та відповідність технічним вимогам закупівлі.</w:t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eastAsia="Calibri" w:cs="Times New Roman" w:ascii="Times New Roman" w:hAnsi="Times New Roman"/>
          <w:b/>
          <w:bCs/>
          <w:color w:val="00000A"/>
          <w:position w:val="-2"/>
          <w:sz w:val="24"/>
          <w:szCs w:val="24"/>
          <w:lang w:val="uk-UA" w:eastAsia="en-US" w:bidi="ar-SA"/>
        </w:rPr>
        <w:t>3.4.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uk-UA" w:bidi="ar-SA"/>
        </w:rPr>
        <w:t>Гарантійний лист (в довільній формі) від учасника процедури закупівлі, у якому має бути зазначено, що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uk-UA" w:bidi="ar-SA"/>
        </w:rPr>
        <w:t xml:space="preserve"> учасник процедури закупівлі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 xml:space="preserve"> 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  <w:lang w:val="uk-UA" w:eastAsia="ar-SA" w:bidi="ar-SA"/>
        </w:rPr>
        <w:t>не є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 xml:space="preserve"> 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не є громадянин Російської Федерації/Республіки Білорусь (крім того, що проживає на території України на законних підставах), або 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  <w:lang w:val="uk-UA" w:eastAsia="ar-SA" w:bidi="ar-SA"/>
        </w:rPr>
        <w:t>не є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 xml:space="preserve"> юридичною особою, утвореною та зареєстрованою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  <w:shd w:fill="auto" w:val="clear"/>
          <w:lang w:val="uk-UA" w:eastAsia="ar-SA" w:bidi="ar-SA"/>
        </w:rPr>
        <w:t>не пропонує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 xml:space="preserve">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5176).</w:t>
      </w:r>
    </w:p>
    <w:p>
      <w:pPr>
        <w:pStyle w:val="Normal"/>
        <w:suppressAutoHyphens w:val="true"/>
        <w:spacing w:lineRule="auto" w:line="360" w:before="0" w:after="0"/>
        <w:jc w:val="both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position w:val="-2"/>
          <w:sz w:val="24"/>
          <w:szCs w:val="24"/>
          <w:u w:val="none"/>
          <w:shd w:fill="auto" w:val="clear"/>
          <w:lang w:val="uk-UA" w:eastAsia="en-US" w:bidi="ar-SA"/>
        </w:rPr>
        <w:t>3.5.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u w:val="none"/>
          <w:shd w:fill="auto" w:val="clear"/>
          <w:lang w:val="uk-UA" w:eastAsia="uk-UA" w:bidi="ar-SA"/>
        </w:rPr>
        <w:t>Гарантійний лист (в довільній формі)</w:t>
      </w:r>
      <w:r>
        <w:rPr>
          <w:rFonts w:eastAsia="Times New Roman" w:cs="Times New Roman CYR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shd w:fill="auto" w:val="clear"/>
          <w:lang w:val="uk-UA" w:eastAsia="ar-SA" w:bidi="ar-SA"/>
        </w:rPr>
        <w:t xml:space="preserve"> від учасника процедури закупівлі, у якому має бути зазначено, що учасник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території. У разі, якщо місцезнаходження учасника зареєстроване на тимчасово окупованій території, учасник має надати підтвердження зміни податкової адреси на іншу територію України видане уповноваженим на це органом.</w:t>
      </w:r>
    </w:p>
    <w:sectPr>
      <w:footerReference w:type="default" r:id="rId2"/>
      <w:type w:val="nextPage"/>
      <w:pgSz w:w="11906" w:h="16838"/>
      <w:pgMar w:left="993" w:right="567" w:gutter="0" w:header="0" w:top="851" w:footer="1134" w:bottom="1693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OpenSymbol">
    <w:altName w:val="Arial Unicode MS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FreeSet">
    <w:charset w:val="cc" w:characterSet="windows-1251"/>
    <w:family w:val="roman"/>
    <w:pitch w:val="variable"/>
  </w:font>
  <w:font w:name="Times New Roman CYR">
    <w:charset w:val="cc" w:characterSet="windows-1251"/>
    <w:family w:val="roman"/>
    <w:pitch w:val="variable"/>
  </w:font>
  <w:font w:name="Courier New">
    <w:charset w:val="cc" w:characterSet="windows-1251"/>
    <w:family w:val="roman"/>
    <w:pitch w:val="variable"/>
  </w:font>
  <w:font w:name="Arial">
    <w:charset w:val="cc" w:characterSet="windows-125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cs="Times New Roman"/>
      <w:b/>
      <w:bCs/>
      <w:kern w:val="2"/>
      <w:sz w:val="48"/>
      <w:szCs w:val="48"/>
      <w:lang w:val="ru-RU"/>
    </w:rPr>
  </w:style>
  <w:style w:type="paragraph" w:styleId="Heading2">
    <w:name w:val="Heading 2"/>
    <w:basedOn w:val="Normal"/>
    <w:qFormat/>
    <w:pPr>
      <w:numPr>
        <w:ilvl w:val="0"/>
        <w:numId w:val="0"/>
      </w:numPr>
      <w:spacing w:before="280" w:after="280"/>
      <w:outlineLvl w:val="1"/>
    </w:pPr>
    <w:rPr>
      <w:b/>
      <w:bCs/>
      <w:sz w:val="36"/>
      <w:szCs w:val="36"/>
    </w:rPr>
  </w:style>
  <w:style w:type="paragraph" w:styleId="Heading3">
    <w:name w:val="Heading 3"/>
    <w:basedOn w:val="Style14"/>
    <w:qFormat/>
    <w:pPr/>
    <w:rPr/>
  </w:style>
  <w:style w:type="character" w:styleId="Style11">
    <w:name w:val="Маркери"/>
    <w:qFormat/>
    <w:rPr>
      <w:rFonts w:ascii="OpenSymbol" w:hAnsi="OpenSymbol" w:eastAsia="OpenSymbol" w:cs="OpenSymbol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DefaultParagraphFont">
    <w:name w:val="Default Paragraph Font"/>
    <w:qFormat/>
    <w:rPr/>
  </w:style>
  <w:style w:type="character" w:styleId="2350">
    <w:name w:val="2350"/>
    <w:basedOn w:val="DefaultParagraphFont"/>
    <w:qFormat/>
    <w:rPr/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2">
    <w:name w:val="Символ нумерації"/>
    <w:qFormat/>
    <w:rPr/>
  </w:style>
  <w:style w:type="character" w:styleId="Hps">
    <w:name w:val="hps"/>
    <w:qFormat/>
    <w:rPr/>
  </w:style>
  <w:style w:type="character" w:styleId="Style13">
    <w:name w:val="Основной шрифт абзаца"/>
    <w:qFormat/>
    <w:rPr/>
  </w:style>
  <w:style w:type="character" w:styleId="D-none">
    <w:name w:val="d-none"/>
    <w:basedOn w:val="Style13"/>
    <w:qFormat/>
    <w:rPr/>
  </w:style>
  <w:style w:type="character" w:styleId="Rvts0">
    <w:name w:val="rvts0"/>
    <w:qFormat/>
    <w:rPr>
      <w:rFonts w:cs="Times New Roman"/>
    </w:rPr>
  </w:style>
  <w:style w:type="character" w:styleId="Liki-item-option-title">
    <w:name w:val="liki-item-option-title"/>
    <w:basedOn w:val="DefaultParagraphFont"/>
    <w:qFormat/>
    <w:rPr/>
  </w:style>
  <w:style w:type="character" w:styleId="WW8Num3z0">
    <w:name w:val="WW8Num3z0"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Покажчик"/>
    <w:basedOn w:val="Normal"/>
    <w:qFormat/>
    <w:pPr>
      <w:suppressLineNumbers/>
    </w:pPr>
    <w:rPr>
      <w:rFonts w:cs="Mangal"/>
    </w:rPr>
  </w:style>
  <w:style w:type="paragraph" w:styleId="Style16">
    <w:name w:val="Вміст таблиці"/>
    <w:basedOn w:val="Normal"/>
    <w:qFormat/>
    <w:pPr>
      <w:suppressLineNumbers/>
    </w:pPr>
    <w:rPr/>
  </w:style>
  <w:style w:type="paragraph" w:styleId="Style17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start"/>
    </w:pPr>
    <w:rPr>
      <w:rFonts w:ascii="Calibri" w:hAnsi="Calibri" w:eastAsia="Calibri" w:cs="Times New Roman"/>
      <w:color w:val="auto"/>
      <w:kern w:val="2"/>
      <w:sz w:val="22"/>
      <w:szCs w:val="22"/>
      <w:lang w:val="uk-UA" w:eastAsia="en-US" w:bidi="ar-SA"/>
    </w:rPr>
  </w:style>
  <w:style w:type="paragraph" w:styleId="NormalWeb">
    <w:name w:val="Normal (Web)"/>
    <w:basedOn w:val="Normal"/>
    <w:qFormat/>
    <w:pPr>
      <w:widowControl/>
      <w:bidi w:val="0"/>
      <w:spacing w:lineRule="auto" w:line="276" w:before="100" w:after="100"/>
      <w:jc w:val="start"/>
      <w:textAlignment w:val="auto"/>
    </w:pPr>
    <w:rPr>
      <w:rFonts w:ascii="Calibri" w:hAnsi="Calibri" w:eastAsia="Times New Roman"/>
      <w:sz w:val="24"/>
      <w:lang w:val="ru-RU" w:eastAsia="ar-SA"/>
    </w:rPr>
  </w:style>
  <w:style w:type="paragraph" w:styleId="ListParagraph">
    <w:name w:val="List Paragraph"/>
    <w:basedOn w:val="Normal"/>
    <w:qFormat/>
    <w:pPr>
      <w:spacing w:before="0" w:after="200"/>
      <w:ind w:hanging="0" w:start="720" w:end="0"/>
      <w:contextualSpacing/>
    </w:pPr>
    <w:rPr/>
  </w:style>
  <w:style w:type="paragraph" w:styleId="1">
    <w:name w:val="Îáû÷íûé1"/>
    <w:qFormat/>
    <w:pPr>
      <w:widowControl/>
      <w:suppressAutoHyphens w:val="true"/>
      <w:overflowPunct w:val="false"/>
      <w:bidi w:val="0"/>
      <w:spacing w:before="0" w:after="0"/>
      <w:jc w:val="start"/>
      <w:textAlignment w:val="auto"/>
    </w:pPr>
    <w:rPr>
      <w:rFonts w:ascii="FreeSet" w:hAnsi="FreeSet" w:eastAsia="Times New Roman" w:cs="Liberation Serif"/>
      <w:color w:val="000000"/>
      <w:kern w:val="2"/>
      <w:sz w:val="24"/>
      <w:szCs w:val="24"/>
      <w:lang w:val="en-US" w:eastAsia="ar-SA" w:bidi="ar-SA"/>
    </w:rPr>
  </w:style>
  <w:style w:type="paragraph" w:styleId="Header">
    <w:name w:val="Header"/>
    <w:basedOn w:val="Normal"/>
    <w:pPr>
      <w:tabs>
        <w:tab w:val="clear" w:pos="709"/>
        <w:tab w:val="center" w:pos="4819" w:leader="none"/>
        <w:tab w:val="right" w:pos="9639" w:leader="none"/>
      </w:tabs>
      <w:spacing w:lineRule="auto" w:line="240" w:before="0" w:after="0"/>
    </w:pPr>
    <w:rPr>
      <w:sz w:val="20"/>
      <w:szCs w:val="20"/>
      <w:lang w:val="x-none" w:eastAsia="x-none"/>
    </w:rPr>
  </w:style>
  <w:style w:type="paragraph" w:styleId="TableParagraph">
    <w:name w:val="Table Paragraph"/>
    <w:basedOn w:val="Normal"/>
    <w:qFormat/>
    <w:pPr>
      <w:widowControl w:val="false"/>
      <w:suppressAutoHyphens w:val="true"/>
    </w:pPr>
    <w:rPr>
      <w:rFonts w:ascii="Times New Roman" w:hAnsi="Times New Roman" w:eastAsia="Times New Roman" w:cs="Times New Roman"/>
      <w:lang w:val="en-US" w:eastAsia="zh-CN"/>
    </w:rPr>
  </w:style>
  <w:style w:type="paragraph" w:styleId="Rvps2">
    <w:name w:val="rvps2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  <w:lang w:eastAsia="uk-UA"/>
    </w:rPr>
  </w:style>
  <w:style w:type="paragraph" w:styleId="11">
    <w:name w:val="Обычный1"/>
    <w:qFormat/>
    <w:pPr>
      <w:widowControl/>
      <w:suppressAutoHyphens w:val="true"/>
      <w:overflowPunct w:val="true"/>
      <w:bidi w:val="0"/>
      <w:spacing w:before="100" w:after="100"/>
      <w:jc w:val="star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zh-CN" w:bidi="ar-SA"/>
    </w:rPr>
  </w:style>
  <w:style w:type="paragraph" w:styleId="Style18">
    <w:name w:val="Заголовок таблиці"/>
    <w:basedOn w:val="Style16"/>
    <w:qFormat/>
    <w:pPr>
      <w:suppressLineNumbers/>
      <w:jc w:val="center"/>
    </w:pPr>
    <w:rPr>
      <w:b/>
      <w:bCs/>
    </w:rPr>
  </w:style>
  <w:style w:type="paragraph" w:styleId="ListParagraph11">
    <w:name w:val="List Paragraph11"/>
    <w:basedOn w:val="Normal"/>
    <w:qFormat/>
    <w:pPr>
      <w:suppressAutoHyphens w:val="false"/>
      <w:spacing w:lineRule="auto" w:line="240" w:before="0" w:after="0"/>
      <w:ind w:hanging="0" w:start="720" w:end="0"/>
      <w:contextualSpacing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paragraph" w:styleId="Style19">
    <w:name w:val="Базовый"/>
    <w:qFormat/>
    <w:pPr>
      <w:widowControl w:val="false"/>
      <w:suppressAutoHyphens w:val="true"/>
      <w:overflowPunct w:val="false"/>
      <w:bidi w:val="0"/>
      <w:spacing w:lineRule="atLeast" w:line="100" w:before="0" w:after="0"/>
      <w:jc w:val="start"/>
    </w:pPr>
    <w:rPr>
      <w:rFonts w:ascii="Times New Roman CYR" w:hAnsi="Times New Roman CYR" w:eastAsia="Times New Roman CYR" w:cs="Liberation Serif"/>
      <w:color w:val="auto"/>
      <w:kern w:val="0"/>
      <w:sz w:val="24"/>
      <w:szCs w:val="24"/>
      <w:lang w:val="ru-RU" w:eastAsia="ar-SA" w:bidi="hi-IN"/>
    </w:rPr>
  </w:style>
  <w:style w:type="paragraph" w:styleId="HTML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start"/>
    </w:pPr>
    <w:rPr>
      <w:rFonts w:ascii="Courier New" w:hAnsi="Courier New" w:cs="Courier New"/>
      <w:sz w:val="20"/>
    </w:rPr>
  </w:style>
  <w:style w:type="paragraph" w:styleId="Style20">
    <w:name w:val="Звичайний (веб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Calibri" w:cs="Times New Roman"/>
      <w:sz w:val="24"/>
      <w:szCs w:val="24"/>
      <w:lang w:val="ru-RU" w:eastAsia="zh-CN"/>
    </w:rPr>
  </w:style>
  <w:style w:type="paragraph" w:styleId="21">
    <w:name w:val="Основной текст 21"/>
    <w:basedOn w:val="Normal"/>
    <w:qFormat/>
    <w:pPr>
      <w:suppressAutoHyphens w:val="false"/>
      <w:overflowPunct w:val="true"/>
      <w:spacing w:lineRule="auto" w:line="480" w:before="0" w:after="120"/>
    </w:pPr>
    <w:rPr>
      <w:rFonts w:ascii="Times New Roman CYR" w:hAnsi="Times New Roman CYR" w:eastAsia="Calibri" w:cs="Times New Roman"/>
      <w:kern w:val="0"/>
      <w:lang w:val="x-none" w:bidi="ar-SA"/>
    </w:rPr>
  </w:style>
  <w:style w:type="paragraph" w:styleId="2">
    <w:name w:val="Обычный2"/>
    <w:qFormat/>
    <w:pPr>
      <w:widowControl/>
      <w:suppressAutoHyphens w:val="true"/>
      <w:overflowPunct w:val="true"/>
      <w:bidi w:val="0"/>
      <w:spacing w:lineRule="auto" w:line="276" w:before="0" w:after="0"/>
      <w:jc w:val="start"/>
    </w:pPr>
    <w:rPr>
      <w:rFonts w:ascii="Arial" w:hAnsi="Arial" w:eastAsia="Arial" w:cs="Arial"/>
      <w:color w:val="000000"/>
      <w:kern w:val="2"/>
      <w:sz w:val="20"/>
      <w:szCs w:val="24"/>
      <w:lang w:val="en-US" w:eastAsia="ru-RU" w:bidi="hi-IN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40" w:before="0" w:after="0"/>
      <w:jc w:val="star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n-US" w:eastAsia="ru-RU" w:bidi="hi-IN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LibreOffice/7.6.2.1$Windows_X86_64 LibreOffice_project/56f7684011345957bbf33a7ee678afaf4d2ba333</Application>
  <AppVersion>15.0000</AppVersion>
  <Pages>7</Pages>
  <Words>1404</Words>
  <Characters>8757</Characters>
  <CharactersWithSpaces>10013</CharactersWithSpaces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2023-03-09T23:27:02Z</dcterms:created>
  <dc:creator/>
  <dc:description/>
  <dc:language>uk-UA</dc:language>
  <cp:lastModifiedBy/>
  <dcterms:modified xsi:type="dcterms:W3CDTF">2023-11-14T09:39:10Z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