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36" w:rsidRPr="00465606" w:rsidRDefault="009A4AE8" w:rsidP="009A4AE8">
      <w:pPr>
        <w:pStyle w:val="a6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Комунальна установа  «</w:t>
      </w:r>
      <w:proofErr w:type="spellStart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Немирівський</w:t>
      </w:r>
      <w:proofErr w:type="spellEnd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 xml:space="preserve"> міський центр по обслуговуванню  закладів освіти» </w:t>
      </w:r>
      <w:proofErr w:type="spellStart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Немирівської</w:t>
      </w:r>
      <w:proofErr w:type="spellEnd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міської ради Вінницької області</w:t>
      </w:r>
    </w:p>
    <w:p w:rsidR="00162436" w:rsidRPr="00E84D14" w:rsidRDefault="00162436" w:rsidP="00162436">
      <w:pPr>
        <w:pStyle w:val="a6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6955C7" w:rsidRDefault="00162436" w:rsidP="00162436">
      <w:pPr>
        <w:pStyle w:val="a6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>
        <w:rPr>
          <w:rFonts w:ascii="Times New Roman" w:eastAsia="Times New Roman" w:hAnsi="Times New Roman" w:cs="Times New Roman"/>
          <w:b/>
          <w:szCs w:val="24"/>
          <w:lang w:val="uk-UA" w:eastAsia="ru-RU"/>
        </w:rPr>
        <w:t>:</w:t>
      </w: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</w:p>
    <w:p w:rsidR="006955C7" w:rsidRDefault="006955C7" w:rsidP="00162436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val="uk-UA" w:eastAsia="ru-RU"/>
        </w:rPr>
      </w:pPr>
      <w:r w:rsidRPr="006955C7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Природний газ</w:t>
      </w:r>
      <w:r w:rsidRPr="006955C7">
        <w:rPr>
          <w:rFonts w:ascii="Times New Roman" w:eastAsia="Times New Roman" w:hAnsi="Times New Roman" w:cs="Times New Roman"/>
          <w:b/>
          <w:bCs/>
          <w:szCs w:val="24"/>
          <w:vertAlign w:val="superscript"/>
          <w:lang w:val="uk-UA" w:eastAsia="ru-RU"/>
        </w:rPr>
        <w:t xml:space="preserve"> </w:t>
      </w:r>
      <w:r w:rsidRPr="006955C7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 xml:space="preserve"> (ДК 021:2015 код 09120000-6  Газове паливо)</w:t>
      </w:r>
      <w:r w:rsidRPr="006955C7">
        <w:rPr>
          <w:rFonts w:ascii="Times New Roman" w:eastAsia="Times New Roman" w:hAnsi="Times New Roman" w:cs="Times New Roman"/>
          <w:b/>
          <w:bCs/>
          <w:color w:val="FF0000"/>
          <w:szCs w:val="24"/>
          <w:lang w:val="uk-UA" w:eastAsia="ru-RU"/>
        </w:rPr>
        <w:t xml:space="preserve"> </w:t>
      </w:r>
    </w:p>
    <w:p w:rsidR="00162436" w:rsidRDefault="00162436" w:rsidP="00162436">
      <w:pPr>
        <w:pStyle w:val="a6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162436" w:rsidRDefault="00162436" w:rsidP="00162436">
      <w:pPr>
        <w:pStyle w:val="a6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162436" w:rsidRPr="00E84D14" w:rsidRDefault="00162436" w:rsidP="00162436">
      <w:pPr>
        <w:pStyle w:val="a6"/>
        <w:jc w:val="both"/>
        <w:rPr>
          <w:rFonts w:ascii="Times New Roman" w:hAnsi="Times New Roman" w:cs="Times New Roman"/>
          <w:szCs w:val="24"/>
          <w:lang w:val="uk-UA" w:eastAsia="ru-RU"/>
        </w:rPr>
      </w:pP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       </w:t>
      </w:r>
      <w:r w:rsidRPr="00E84D14">
        <w:rPr>
          <w:rFonts w:ascii="Times New Roman" w:hAnsi="Times New Roman" w:cs="Times New Roman"/>
          <w:b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731F">
        <w:rPr>
          <w:rFonts w:ascii="Times New Roman" w:hAnsi="Times New Roman" w:cs="Times New Roman"/>
          <w:bCs/>
          <w:szCs w:val="24"/>
          <w:lang w:val="uk-UA" w:eastAsia="uk-UA"/>
        </w:rPr>
        <w:t>Комунальна установа «</w:t>
      </w:r>
      <w:proofErr w:type="spellStart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>Немирівський</w:t>
      </w:r>
      <w:proofErr w:type="spellEnd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 xml:space="preserve"> міський центр по обслуговуванню закладів освіти» </w:t>
      </w:r>
      <w:proofErr w:type="spellStart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>Немирівської</w:t>
      </w:r>
      <w:proofErr w:type="spellEnd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 xml:space="preserve"> міської ради Вінницької області </w:t>
      </w:r>
      <w:r w:rsidRPr="00E84D14">
        <w:rPr>
          <w:rFonts w:ascii="Times New Roman" w:hAnsi="Times New Roman" w:cs="Times New Roman"/>
          <w:bCs/>
          <w:szCs w:val="24"/>
          <w:lang w:val="uk-UA" w:eastAsia="uk-UA"/>
        </w:rPr>
        <w:t>,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 </w:t>
      </w:r>
      <w:proofErr w:type="spellStart"/>
      <w:r w:rsidR="008E731F">
        <w:rPr>
          <w:rFonts w:ascii="Times New Roman" w:hAnsi="Times New Roman" w:cs="Times New Roman"/>
          <w:szCs w:val="24"/>
          <w:lang w:val="uk-UA" w:eastAsia="ru-RU"/>
        </w:rPr>
        <w:t>вул.Соборна</w:t>
      </w:r>
      <w:proofErr w:type="spellEnd"/>
      <w:r w:rsidRPr="00E84D14">
        <w:rPr>
          <w:rFonts w:ascii="Times New Roman" w:hAnsi="Times New Roman" w:cs="Times New Roman"/>
          <w:szCs w:val="24"/>
          <w:lang w:val="uk-UA" w:eastAsia="ru-RU"/>
        </w:rPr>
        <w:t>,буд.</w:t>
      </w:r>
      <w:r w:rsidR="00B7421D">
        <w:rPr>
          <w:rFonts w:ascii="Times New Roman" w:hAnsi="Times New Roman" w:cs="Times New Roman"/>
          <w:szCs w:val="24"/>
          <w:lang w:val="uk-UA" w:eastAsia="ru-RU"/>
        </w:rPr>
        <w:t>26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, м. </w:t>
      </w:r>
      <w:r w:rsidR="00B7421D">
        <w:rPr>
          <w:rFonts w:ascii="Times New Roman" w:hAnsi="Times New Roman" w:cs="Times New Roman"/>
          <w:szCs w:val="24"/>
          <w:lang w:val="uk-UA" w:eastAsia="ru-RU"/>
        </w:rPr>
        <w:t>Немирів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, </w:t>
      </w:r>
      <w:r w:rsidR="00B7421D">
        <w:rPr>
          <w:rFonts w:ascii="Times New Roman" w:hAnsi="Times New Roman" w:cs="Times New Roman"/>
          <w:szCs w:val="24"/>
          <w:lang w:val="uk-UA" w:eastAsia="ru-RU"/>
        </w:rPr>
        <w:t xml:space="preserve">Вінницька 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обл., </w:t>
      </w:r>
      <w:r w:rsidR="00B7421D">
        <w:rPr>
          <w:rFonts w:ascii="Times New Roman" w:hAnsi="Times New Roman" w:cs="Times New Roman"/>
          <w:szCs w:val="24"/>
          <w:lang w:val="uk-UA" w:eastAsia="ru-RU"/>
        </w:rPr>
        <w:t>22800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, код ЄДРПОУ </w:t>
      </w:r>
      <w:r w:rsidR="00B7421D">
        <w:rPr>
          <w:rFonts w:ascii="Times New Roman" w:hAnsi="Times New Roman" w:cs="Times New Roman"/>
          <w:szCs w:val="24"/>
          <w:lang w:val="uk-UA" w:eastAsia="ru-RU"/>
        </w:rPr>
        <w:t xml:space="preserve">41345614.                           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     </w:t>
      </w:r>
      <w:r w:rsidRPr="00E84D14">
        <w:rPr>
          <w:rFonts w:ascii="Times New Roman" w:hAnsi="Times New Roman" w:cs="Times New Roman"/>
          <w:b/>
          <w:szCs w:val="24"/>
          <w:lang w:val="uk-UA" w:eastAsia="ru-RU"/>
        </w:rPr>
        <w:t>Джерело фінансування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: кошти </w:t>
      </w:r>
      <w:r w:rsidR="00B7421D">
        <w:rPr>
          <w:rFonts w:ascii="Times New Roman" w:hAnsi="Times New Roman" w:cs="Times New Roman"/>
          <w:szCs w:val="24"/>
          <w:lang w:val="uk-UA" w:eastAsia="ru-RU"/>
        </w:rPr>
        <w:t xml:space="preserve"> </w:t>
      </w:r>
      <w:r w:rsidRPr="00E84D14">
        <w:rPr>
          <w:rFonts w:ascii="Times New Roman" w:hAnsi="Times New Roman" w:cs="Times New Roman"/>
          <w:szCs w:val="24"/>
          <w:lang w:val="uk-UA" w:eastAsia="ru-RU"/>
        </w:rPr>
        <w:t>місцевого бюджету</w:t>
      </w:r>
    </w:p>
    <w:p w:rsidR="00174E05" w:rsidRPr="00174E05" w:rsidRDefault="0010280C" w:rsidP="00174E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</w:t>
      </w:r>
      <w:r w:rsidR="00162436" w:rsidRPr="00E84D14">
        <w:rPr>
          <w:rFonts w:ascii="Times New Roman" w:hAnsi="Times New Roman" w:cs="Times New Roman"/>
          <w:b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162436" w:rsidRPr="00E84D14">
        <w:rPr>
          <w:rFonts w:ascii="Times New Roman" w:hAnsi="Times New Roman" w:cs="Times New Roman"/>
          <w:szCs w:val="24"/>
          <w:lang w:val="uk-UA"/>
        </w:rPr>
        <w:t xml:space="preserve">:  </w:t>
      </w:r>
      <w:r w:rsidR="00174E05" w:rsidRPr="00174E05">
        <w:rPr>
          <w:rFonts w:ascii="Times New Roman" w:hAnsi="Times New Roman" w:cs="Times New Roman"/>
          <w:bCs/>
          <w:sz w:val="24"/>
          <w:szCs w:val="24"/>
          <w:lang w:val="uk-UA"/>
        </w:rPr>
        <w:t>Природний газ</w:t>
      </w:r>
      <w:r w:rsidR="00174E05" w:rsidRPr="00174E0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174E05" w:rsidRPr="00174E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(ДК 021:2015 код 09120000-6  Газове паливо) </w:t>
      </w:r>
      <w:r w:rsidR="00174E05" w:rsidRPr="00174E05">
        <w:rPr>
          <w:rFonts w:ascii="Times New Roman" w:hAnsi="Times New Roman" w:cs="Times New Roman"/>
          <w:bCs/>
          <w:i/>
          <w:sz w:val="24"/>
          <w:szCs w:val="24"/>
          <w:lang w:val="uk-UA"/>
        </w:rPr>
        <w:t>(деталізований CPV код ДК 021:2015 - 09123000-7 – Природний газ)</w:t>
      </w:r>
    </w:p>
    <w:p w:rsidR="00162436" w:rsidRPr="00E84D14" w:rsidRDefault="00162436" w:rsidP="00174E0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84D14">
        <w:rPr>
          <w:rFonts w:ascii="Times New Roman" w:hAnsi="Times New Roman" w:cs="Times New Roman"/>
          <w:b/>
          <w:bCs/>
          <w:szCs w:val="24"/>
          <w:lang w:val="uk-UA"/>
        </w:rPr>
        <w:t xml:space="preserve">      </w:t>
      </w:r>
      <w:r w:rsidRPr="00E84D14">
        <w:rPr>
          <w:rFonts w:ascii="Times New Roman" w:hAnsi="Times New Roman" w:cs="Times New Roman"/>
          <w:b/>
          <w:bCs/>
          <w:iCs/>
          <w:spacing w:val="1"/>
          <w:szCs w:val="24"/>
          <w:lang w:val="uk-UA"/>
        </w:rPr>
        <w:t>Вид процедури закупівлі:</w:t>
      </w:r>
      <w:r w:rsidRPr="00E84D14">
        <w:rPr>
          <w:rFonts w:ascii="Times New Roman" w:hAnsi="Times New Roman" w:cs="Times New Roman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10280C" w:rsidRPr="00D0126B" w:rsidRDefault="00162436" w:rsidP="0010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4D14">
        <w:rPr>
          <w:rFonts w:ascii="Times New Roman" w:hAnsi="Times New Roman" w:cs="Times New Roman"/>
          <w:b/>
          <w:szCs w:val="24"/>
          <w:lang w:val="uk-UA"/>
        </w:rPr>
        <w:t>Кількісна характеристика предмета закупівлі</w:t>
      </w:r>
      <w:r>
        <w:rPr>
          <w:rFonts w:ascii="Times New Roman" w:hAnsi="Times New Roman" w:cs="Times New Roman"/>
          <w:szCs w:val="24"/>
          <w:lang w:val="uk-UA"/>
        </w:rPr>
        <w:t>:</w:t>
      </w:r>
      <w:r w:rsidR="0010280C">
        <w:rPr>
          <w:rFonts w:ascii="Times New Roman" w:hAnsi="Times New Roman" w:cs="Times New Roman"/>
          <w:szCs w:val="24"/>
          <w:lang w:val="uk-UA"/>
        </w:rPr>
        <w:t xml:space="preserve"> </w:t>
      </w:r>
      <w:r w:rsidR="0010280C" w:rsidRPr="002E447B">
        <w:rPr>
          <w:rFonts w:ascii="Times New Roman" w:hAnsi="Times New Roman" w:cs="Times New Roman"/>
          <w:sz w:val="24"/>
          <w:szCs w:val="24"/>
          <w:lang w:val="uk-UA"/>
        </w:rPr>
        <w:t>Кількісною характеристикою предмета закупівлі є обсяг споживання природного газу. За одиницю виміру кількості природного газу приймається метр кубічний</w:t>
      </w:r>
      <w:r w:rsidR="0010280C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об’єктів замовника, та враховуючи обсяги споживання попереднього та поточного календарних років, становить </w:t>
      </w:r>
      <w:r w:rsidR="00465606" w:rsidRPr="00095AE5">
        <w:rPr>
          <w:rFonts w:ascii="Times New Roman" w:hAnsi="Times New Roman" w:cs="Times New Roman"/>
          <w:szCs w:val="24"/>
          <w:lang w:val="uk-UA"/>
        </w:rPr>
        <w:t xml:space="preserve">3500 </w:t>
      </w:r>
      <w:r w:rsidR="0010280C" w:rsidRPr="00095AE5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10280C" w:rsidRPr="00095AE5">
        <w:rPr>
          <w:rFonts w:ascii="Times New Roman" w:hAnsi="Times New Roman" w:cs="Times New Roman"/>
          <w:szCs w:val="24"/>
          <w:lang w:val="uk-UA"/>
        </w:rPr>
        <w:t>м.куб</w:t>
      </w:r>
      <w:proofErr w:type="spellEnd"/>
      <w:r w:rsidR="0010280C" w:rsidRPr="00095AE5">
        <w:rPr>
          <w:rFonts w:ascii="Times New Roman" w:hAnsi="Times New Roman" w:cs="Times New Roman"/>
          <w:szCs w:val="24"/>
          <w:lang w:val="uk-UA"/>
        </w:rPr>
        <w:t>.</w:t>
      </w:r>
      <w:r w:rsidR="0010280C" w:rsidRPr="00095AE5">
        <w:rPr>
          <w:rFonts w:ascii="Times New Roman" w:hAnsi="Times New Roman" w:cs="Times New Roman"/>
          <w:sz w:val="24"/>
          <w:szCs w:val="24"/>
          <w:lang w:val="uk-UA"/>
        </w:rPr>
        <w:t xml:space="preserve">  на період до  31 грудня 2023 року.</w:t>
      </w:r>
    </w:p>
    <w:p w:rsidR="006955C7" w:rsidRDefault="00162436" w:rsidP="006955C7">
      <w:pPr>
        <w:pStyle w:val="a6"/>
        <w:jc w:val="both"/>
        <w:rPr>
          <w:rFonts w:ascii="Times New Roman" w:hAnsi="Times New Roman" w:cs="Times New Roman"/>
          <w:iCs/>
          <w:color w:val="FF0000"/>
          <w:szCs w:val="24"/>
          <w:lang w:val="uk-UA"/>
        </w:rPr>
      </w:pPr>
      <w:r w:rsidRPr="00E84D14">
        <w:rPr>
          <w:rFonts w:ascii="Times New Roman" w:hAnsi="Times New Roman" w:cs="Times New Roman"/>
          <w:szCs w:val="24"/>
          <w:lang w:val="uk-UA"/>
        </w:rPr>
        <w:t xml:space="preserve">       </w:t>
      </w:r>
      <w:r w:rsidRPr="00E84D14">
        <w:rPr>
          <w:rFonts w:ascii="Times New Roman" w:hAnsi="Times New Roman" w:cs="Times New Roman"/>
          <w:b/>
          <w:bCs/>
          <w:szCs w:val="24"/>
          <w:lang w:val="uk-UA"/>
        </w:rPr>
        <w:t xml:space="preserve">Обґрунтування </w:t>
      </w:r>
      <w:r w:rsidRPr="00E84D14">
        <w:rPr>
          <w:rFonts w:ascii="Times New Roman" w:hAnsi="Times New Roman" w:cs="Times New Roman"/>
          <w:b/>
          <w:spacing w:val="8"/>
          <w:szCs w:val="24"/>
          <w:lang w:val="uk-UA"/>
        </w:rPr>
        <w:t>розміру бюджетного призначення та</w:t>
      </w:r>
      <w:r w:rsidRPr="00E84D14">
        <w:rPr>
          <w:rFonts w:ascii="Times New Roman" w:hAnsi="Times New Roman" w:cs="Times New Roman"/>
          <w:spacing w:val="8"/>
          <w:szCs w:val="24"/>
          <w:lang w:val="uk-UA"/>
        </w:rPr>
        <w:t xml:space="preserve"> </w:t>
      </w:r>
      <w:r w:rsidRPr="00E84D14">
        <w:rPr>
          <w:rFonts w:ascii="Times New Roman" w:hAnsi="Times New Roman" w:cs="Times New Roman"/>
          <w:b/>
          <w:bCs/>
          <w:szCs w:val="24"/>
          <w:lang w:val="uk-UA"/>
        </w:rPr>
        <w:t xml:space="preserve">очікуваної вартості предмета </w:t>
      </w:r>
      <w:r w:rsidRPr="006955C7">
        <w:rPr>
          <w:rFonts w:ascii="Times New Roman" w:hAnsi="Times New Roman" w:cs="Times New Roman"/>
          <w:bCs/>
          <w:szCs w:val="24"/>
          <w:lang w:val="uk-UA"/>
        </w:rPr>
        <w:t>з</w:t>
      </w:r>
      <w:r w:rsidRPr="006955C7">
        <w:rPr>
          <w:rFonts w:ascii="Times New Roman" w:hAnsi="Times New Roman" w:cs="Times New Roman"/>
          <w:b/>
          <w:bCs/>
          <w:szCs w:val="24"/>
          <w:lang w:val="uk-UA"/>
        </w:rPr>
        <w:t>акупівлі</w:t>
      </w:r>
      <w:r w:rsidRPr="006955C7">
        <w:rPr>
          <w:rFonts w:ascii="Times New Roman" w:hAnsi="Times New Roman" w:cs="Times New Roman"/>
          <w:bCs/>
          <w:szCs w:val="24"/>
          <w:lang w:val="uk-UA"/>
        </w:rPr>
        <w:t>:</w:t>
      </w:r>
      <w:r w:rsidR="006955C7" w:rsidRPr="00162436">
        <w:rPr>
          <w:rFonts w:ascii="Times New Roman" w:hAnsi="Times New Roman" w:cs="Times New Roman"/>
          <w:color w:val="FF0000"/>
          <w:szCs w:val="24"/>
          <w:lang w:val="uk-UA"/>
        </w:rPr>
        <w:t xml:space="preserve">      </w:t>
      </w:r>
      <w:r w:rsidR="006955C7" w:rsidRPr="00162436">
        <w:rPr>
          <w:rFonts w:ascii="Times New Roman" w:hAnsi="Times New Roman" w:cs="Times New Roman"/>
          <w:iCs/>
          <w:color w:val="FF0000"/>
          <w:szCs w:val="24"/>
          <w:lang w:val="uk-UA"/>
        </w:rPr>
        <w:t xml:space="preserve"> </w:t>
      </w:r>
    </w:p>
    <w:p w:rsidR="006955C7" w:rsidRPr="008A6342" w:rsidRDefault="006955C7" w:rsidP="006955C7">
      <w:pPr>
        <w:pStyle w:val="a6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162436">
        <w:rPr>
          <w:rFonts w:ascii="Times New Roman" w:hAnsi="Times New Roman" w:cs="Times New Roman"/>
          <w:iCs/>
          <w:color w:val="FF0000"/>
          <w:szCs w:val="24"/>
          <w:lang w:val="uk-UA"/>
        </w:rPr>
        <w:t xml:space="preserve">  </w:t>
      </w:r>
      <w:r w:rsidR="005839D5">
        <w:rPr>
          <w:rFonts w:ascii="Times New Roman" w:hAnsi="Times New Roman" w:cs="Times New Roman"/>
          <w:iCs/>
          <w:color w:val="FF0000"/>
          <w:szCs w:val="24"/>
          <w:lang w:val="uk-UA"/>
        </w:rPr>
        <w:t xml:space="preserve">  </w:t>
      </w:r>
      <w:r w:rsidRPr="00162436">
        <w:rPr>
          <w:rFonts w:ascii="Times New Roman" w:hAnsi="Times New Roman" w:cs="Times New Roman"/>
          <w:spacing w:val="8"/>
          <w:szCs w:val="24"/>
          <w:lang w:val="uk-UA"/>
        </w:rPr>
        <w:t xml:space="preserve">Закупівля здійснюється відповідно до </w:t>
      </w:r>
      <w:r w:rsidRPr="00162436">
        <w:rPr>
          <w:rFonts w:ascii="Times New Roman" w:hAnsi="Times New Roman" w:cs="Times New Roman"/>
          <w:szCs w:val="24"/>
          <w:lang w:val="uk-UA"/>
        </w:rPr>
        <w:t xml:space="preserve"> кошторисних призначень </w:t>
      </w:r>
      <w:r w:rsidRPr="008A6342">
        <w:rPr>
          <w:rFonts w:ascii="Times New Roman" w:hAnsi="Times New Roman" w:cs="Times New Roman"/>
          <w:szCs w:val="24"/>
          <w:lang w:val="uk-UA"/>
        </w:rPr>
        <w:t>на  4 квартал 2023 рік та  становить</w:t>
      </w:r>
      <w:r w:rsidRPr="008A6342">
        <w:rPr>
          <w:rFonts w:ascii="Times New Roman" w:hAnsi="Times New Roman" w:cs="Times New Roman"/>
          <w:b/>
          <w:szCs w:val="24"/>
          <w:lang w:val="uk-UA" w:eastAsia="uk-UA"/>
        </w:rPr>
        <w:t xml:space="preserve"> </w:t>
      </w:r>
      <w:r w:rsidR="00095AE5" w:rsidRPr="008A6342">
        <w:rPr>
          <w:rFonts w:ascii="Times New Roman" w:hAnsi="Times New Roman" w:cs="Times New Roman"/>
          <w:b/>
          <w:szCs w:val="24"/>
          <w:lang w:val="uk-UA"/>
        </w:rPr>
        <w:t>57938.6</w:t>
      </w:r>
      <w:r w:rsidR="008A6342" w:rsidRPr="008A6342">
        <w:rPr>
          <w:rFonts w:ascii="Times New Roman" w:hAnsi="Times New Roman" w:cs="Times New Roman"/>
          <w:b/>
          <w:szCs w:val="24"/>
          <w:lang w:val="uk-UA"/>
        </w:rPr>
        <w:t>2</w:t>
      </w:r>
      <w:r w:rsidRPr="008A6342">
        <w:rPr>
          <w:rFonts w:ascii="Times New Roman" w:hAnsi="Times New Roman" w:cs="Times New Roman"/>
          <w:b/>
          <w:szCs w:val="24"/>
          <w:lang w:val="uk-UA"/>
        </w:rPr>
        <w:t xml:space="preserve"> грн. з ПДВ.    </w:t>
      </w:r>
    </w:p>
    <w:p w:rsidR="006955C7" w:rsidRDefault="006955C7" w:rsidP="006955C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342">
        <w:rPr>
          <w:rFonts w:ascii="Times New Roman" w:hAnsi="Times New Roman" w:cs="Times New Roman"/>
          <w:sz w:val="24"/>
          <w:szCs w:val="24"/>
          <w:lang w:val="uk-UA"/>
        </w:rPr>
        <w:t xml:space="preserve">    Визначення очікуваної вартості предмета за</w:t>
      </w:r>
      <w:r w:rsidRPr="00174E05">
        <w:rPr>
          <w:rFonts w:ascii="Times New Roman" w:hAnsi="Times New Roman" w:cs="Times New Roman"/>
          <w:sz w:val="24"/>
          <w:szCs w:val="24"/>
          <w:lang w:val="uk-UA"/>
        </w:rPr>
        <w:t>купівлі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обумовлено аналізом споживання (річного та місячного) обсягу природнього газу за </w:t>
      </w:r>
      <w:r>
        <w:rPr>
          <w:rFonts w:ascii="Times New Roman" w:hAnsi="Times New Roman" w:cs="Times New Roman"/>
          <w:sz w:val="24"/>
          <w:szCs w:val="24"/>
          <w:lang w:val="uk-UA"/>
        </w:rPr>
        <w:t>минулі періоди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5C7" w:rsidRPr="002E447B" w:rsidRDefault="006955C7" w:rsidP="006955C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закупівель, в тому числі визначення очікуваної вартості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680BF0" w:rsidRPr="008C497A" w:rsidRDefault="006955C7" w:rsidP="00680BF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Cs w:val="24"/>
          <w:lang w:val="uk-UA"/>
        </w:rPr>
        <w:t xml:space="preserve">    </w:t>
      </w:r>
      <w:r w:rsidR="00174E05" w:rsidRPr="006955C7">
        <w:rPr>
          <w:rFonts w:ascii="Times New Roman" w:hAnsi="Times New Roman" w:cs="Times New Roman"/>
          <w:iCs/>
          <w:szCs w:val="24"/>
          <w:lang w:val="uk-UA"/>
        </w:rPr>
        <w:t>Розрахунок очікуваної вартості зазначеного товару було складено з урахуванням рекомендацій Примір</w:t>
      </w:r>
      <w:bookmarkStart w:id="0" w:name="_GoBack"/>
      <w:bookmarkEnd w:id="0"/>
      <w:r w:rsidR="00174E05" w:rsidRPr="006955C7">
        <w:rPr>
          <w:rFonts w:ascii="Times New Roman" w:hAnsi="Times New Roman" w:cs="Times New Roman"/>
          <w:iCs/>
          <w:szCs w:val="24"/>
          <w:lang w:val="uk-UA"/>
        </w:rPr>
        <w:t>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такі товари, доступні у відкритих джер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елах інформації (Інтернет) тощо,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а</w:t>
      </w:r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також беручи до уваги положення Постанови 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 xml:space="preserve"> КМУ </w:t>
      </w:r>
      <w:r w:rsidR="00680BF0" w:rsidRPr="00680BF0">
        <w:rPr>
          <w:rFonts w:ascii="Times New Roman" w:hAnsi="Times New Roman" w:cs="Times New Roman"/>
          <w:sz w:val="24"/>
          <w:szCs w:val="24"/>
          <w:lang w:val="uk-UA"/>
        </w:rPr>
        <w:t>від 19 липня 2022 р. № 812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bookmarkStart w:id="1" w:name="n3"/>
      <w:bookmarkEnd w:id="1"/>
      <w:r w:rsidR="00680BF0" w:rsidRPr="00680BF0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врегульовано, що ТОВ “Газопостачальна компанія “Нафтогаз </w:t>
      </w:r>
      <w:proofErr w:type="spellStart"/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>Трейдинг</w:t>
      </w:r>
      <w:proofErr w:type="spellEnd"/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80BF0" w:rsidRPr="00680B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постачає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1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2022 р. </w:t>
      </w:r>
      <w:proofErr w:type="gramStart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до 15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2024 р. (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до 31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2022 р., за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становить 16390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за 1000 куб.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газу</w:t>
      </w:r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, а з урахуванням </w:t>
      </w:r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тарифу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природного газу для точки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proofErr w:type="gram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наперед</w:t>
      </w:r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, за ціною 16553,89 </w:t>
      </w:r>
      <w:proofErr w:type="spellStart"/>
      <w:r w:rsidR="008C497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 за 100 </w:t>
      </w:r>
      <w:proofErr w:type="spellStart"/>
      <w:r w:rsidR="008C497A">
        <w:rPr>
          <w:rFonts w:ascii="Times New Roman" w:hAnsi="Times New Roman" w:cs="Times New Roman"/>
          <w:sz w:val="24"/>
          <w:szCs w:val="24"/>
          <w:lang w:val="uk-UA"/>
        </w:rPr>
        <w:t>куб</w:t>
      </w:r>
      <w:proofErr w:type="gramStart"/>
      <w:r w:rsidR="008C497A">
        <w:rPr>
          <w:rFonts w:ascii="Times New Roman" w:hAnsi="Times New Roman" w:cs="Times New Roman"/>
          <w:sz w:val="24"/>
          <w:szCs w:val="24"/>
          <w:lang w:val="uk-UA"/>
        </w:rPr>
        <w:t>.м</w:t>
      </w:r>
      <w:proofErr w:type="gramEnd"/>
      <w:r w:rsidR="008C497A">
        <w:rPr>
          <w:rFonts w:ascii="Times New Roman" w:hAnsi="Times New Roman" w:cs="Times New Roman"/>
          <w:sz w:val="24"/>
          <w:szCs w:val="24"/>
          <w:lang w:val="uk-UA"/>
        </w:rPr>
        <w:t>етрів</w:t>
      </w:r>
      <w:proofErr w:type="spellEnd"/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 газу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8"/>
      <w:bookmarkEnd w:id="2"/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</w:t>
      </w:r>
      <w:r w:rsidR="000E60A4" w:rsidRPr="002E447B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, регулюються </w:t>
      </w:r>
      <w:r w:rsidR="009E0FF8" w:rsidRPr="002E447B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публічні закупівлі» від 25.12.2015 № 922-VIII зі змінами, Особливостями,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</w:t>
      </w:r>
      <w:r w:rsidR="000E60A4" w:rsidRPr="002E447B">
        <w:rPr>
          <w:rFonts w:ascii="Times New Roman" w:hAnsi="Times New Roman" w:cs="Times New Roman"/>
          <w:sz w:val="24"/>
          <w:szCs w:val="24"/>
          <w:lang w:val="uk-UA"/>
        </w:rPr>
        <w:t>Про ринок природного газу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Правилами постачання природного газу, що затверджені Постановою НКРЕКП №2496 від 30.09.2015 р.  зі </w:t>
      </w:r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lastRenderedPageBreak/>
        <w:t xml:space="preserve">змінами (надалі – Правила постачання), Кодексом газотранспортної системи, затверджений Постановою НКРЕКП  №2493 від 30.09.2015 р. зі змінами (надалі – </w:t>
      </w:r>
      <w:bookmarkStart w:id="3" w:name="_Hlk117172272"/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t>Кодекс ГТС</w:t>
      </w:r>
      <w:bookmarkEnd w:id="3"/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t>), Кодексом газорозподільних систем, затверджений НКРЕКП 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«ОПЕРАТОР ГТС УКРАЇНИ», Постановою НКРЕКП №3013 від 24.12.2019року «Про встановлення 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 та іншими нормативними документами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, та іншими нормативно-правовими актами, що стосуються предмета закупівлі.</w:t>
      </w:r>
    </w:p>
    <w:p w:rsidR="002C63B4" w:rsidRPr="002E447B" w:rsidRDefault="00162436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4D14">
        <w:rPr>
          <w:rFonts w:ascii="Times New Roman" w:hAnsi="Times New Roman" w:cs="Times New Roman"/>
          <w:b/>
          <w:szCs w:val="24"/>
          <w:lang w:val="uk-UA"/>
        </w:rPr>
        <w:t>Обґрунтування технічних та якісних характеристик предмета  закупівлі:</w:t>
      </w:r>
      <w:r w:rsidRPr="00E84D14">
        <w:rPr>
          <w:rFonts w:ascii="Times New Roman" w:hAnsi="Times New Roman" w:cs="Times New Roman"/>
          <w:szCs w:val="24"/>
          <w:lang w:val="uk-UA"/>
        </w:rPr>
        <w:t xml:space="preserve">   </w:t>
      </w:r>
    </w:p>
    <w:p w:rsidR="00FC0D72" w:rsidRPr="002E447B" w:rsidRDefault="002C63B4" w:rsidP="00625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7A2306" w:rsidRPr="002E447B">
        <w:rPr>
          <w:rFonts w:ascii="Times New Roman" w:hAnsi="Times New Roman" w:cs="Times New Roman"/>
          <w:sz w:val="24"/>
          <w:szCs w:val="24"/>
          <w:lang w:val="uk-UA"/>
        </w:rPr>
        <w:t>розділом</w:t>
      </w:r>
      <w:r w:rsidR="00625E37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метану (C1), мол. % - мінімум 90;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етану (C2), мол. % - максимум 7;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пропану (C3), мол. % - максимум 3;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бутану (C4), мол. % - максимум 2;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пентану та інших більш важких вуглеводнів (C5+), мол. % - максимум 1;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азоту (N2), мол. % - максимум 5;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вуглецю (CO2), мол. % - максимум 2;</w:t>
      </w:r>
    </w:p>
    <w:p w:rsidR="00625E37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кисню (O2), мол. % - максимум 0,2</w:t>
      </w:r>
      <w:r w:rsidR="00BF072D" w:rsidRPr="002E447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°C/20 °C):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мінімум - 36,20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(10,06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максимум - 38,30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(10,64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°C/0 °C):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мінімум - 38,85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(10,80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максимум - 41,10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(11,42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нижча теплота згоряння (25 °C/20 °C):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мінімум - 32,66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(09,07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максимум - 34,54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(09,59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температура точки роси за вуглеводнями - при температурі газу не нижче 0 °С - не перевищує 0°С;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механічних домішок: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відсутні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сірководню, г/м-3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максимум 0,006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вміст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меркаптанової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 сірки, г/м-3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максимум 0,02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7085D" w:rsidRPr="002E447B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:rsidR="00A7085D" w:rsidRPr="002E447B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sectPr w:rsidR="008E5329" w:rsidRPr="002E447B" w:rsidSect="00345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54FAB"/>
    <w:rsid w:val="000614EE"/>
    <w:rsid w:val="00063857"/>
    <w:rsid w:val="00095AE5"/>
    <w:rsid w:val="000E4B75"/>
    <w:rsid w:val="000E60A4"/>
    <w:rsid w:val="0010280C"/>
    <w:rsid w:val="00106847"/>
    <w:rsid w:val="00113058"/>
    <w:rsid w:val="00120D18"/>
    <w:rsid w:val="00162436"/>
    <w:rsid w:val="00174E05"/>
    <w:rsid w:val="001A7788"/>
    <w:rsid w:val="001B24D5"/>
    <w:rsid w:val="001D06A4"/>
    <w:rsid w:val="00280125"/>
    <w:rsid w:val="002C63B4"/>
    <w:rsid w:val="002D0FF2"/>
    <w:rsid w:val="002E03C8"/>
    <w:rsid w:val="002E447B"/>
    <w:rsid w:val="00300DA9"/>
    <w:rsid w:val="00345912"/>
    <w:rsid w:val="00345B16"/>
    <w:rsid w:val="00371BBD"/>
    <w:rsid w:val="003A4084"/>
    <w:rsid w:val="003B3D55"/>
    <w:rsid w:val="003E5C41"/>
    <w:rsid w:val="004135A4"/>
    <w:rsid w:val="00420481"/>
    <w:rsid w:val="00465606"/>
    <w:rsid w:val="004B14EE"/>
    <w:rsid w:val="0053447F"/>
    <w:rsid w:val="00542EDA"/>
    <w:rsid w:val="0055179B"/>
    <w:rsid w:val="005839D5"/>
    <w:rsid w:val="005B7423"/>
    <w:rsid w:val="005F1E0C"/>
    <w:rsid w:val="00625E37"/>
    <w:rsid w:val="00625FD4"/>
    <w:rsid w:val="00641DA5"/>
    <w:rsid w:val="00680BF0"/>
    <w:rsid w:val="00685FE7"/>
    <w:rsid w:val="006955C7"/>
    <w:rsid w:val="006D4615"/>
    <w:rsid w:val="00713520"/>
    <w:rsid w:val="00721913"/>
    <w:rsid w:val="0072472C"/>
    <w:rsid w:val="00777F6C"/>
    <w:rsid w:val="00783E67"/>
    <w:rsid w:val="00790919"/>
    <w:rsid w:val="007A2306"/>
    <w:rsid w:val="007B07A6"/>
    <w:rsid w:val="008456A2"/>
    <w:rsid w:val="008A6342"/>
    <w:rsid w:val="008B701E"/>
    <w:rsid w:val="008C497A"/>
    <w:rsid w:val="008E5329"/>
    <w:rsid w:val="008E731F"/>
    <w:rsid w:val="009008EE"/>
    <w:rsid w:val="009012F2"/>
    <w:rsid w:val="009132C5"/>
    <w:rsid w:val="0091480C"/>
    <w:rsid w:val="00921B34"/>
    <w:rsid w:val="00930504"/>
    <w:rsid w:val="00962D48"/>
    <w:rsid w:val="00987A3E"/>
    <w:rsid w:val="009A4AE8"/>
    <w:rsid w:val="009A7B7F"/>
    <w:rsid w:val="009E0FF8"/>
    <w:rsid w:val="00A0389C"/>
    <w:rsid w:val="00A15528"/>
    <w:rsid w:val="00A35660"/>
    <w:rsid w:val="00A40DD9"/>
    <w:rsid w:val="00A530FB"/>
    <w:rsid w:val="00A62079"/>
    <w:rsid w:val="00A673F2"/>
    <w:rsid w:val="00A7085D"/>
    <w:rsid w:val="00A82DE3"/>
    <w:rsid w:val="00AD04AB"/>
    <w:rsid w:val="00AF2EC8"/>
    <w:rsid w:val="00AF7586"/>
    <w:rsid w:val="00B17B81"/>
    <w:rsid w:val="00B465A1"/>
    <w:rsid w:val="00B64BA6"/>
    <w:rsid w:val="00B723F6"/>
    <w:rsid w:val="00B7421D"/>
    <w:rsid w:val="00B93E27"/>
    <w:rsid w:val="00BA0162"/>
    <w:rsid w:val="00BD196B"/>
    <w:rsid w:val="00BE6E84"/>
    <w:rsid w:val="00BF072D"/>
    <w:rsid w:val="00C507CF"/>
    <w:rsid w:val="00CA2C97"/>
    <w:rsid w:val="00CB1135"/>
    <w:rsid w:val="00CE5C82"/>
    <w:rsid w:val="00CE6D82"/>
    <w:rsid w:val="00D0126B"/>
    <w:rsid w:val="00D050A1"/>
    <w:rsid w:val="00D54DEC"/>
    <w:rsid w:val="00D65965"/>
    <w:rsid w:val="00D73554"/>
    <w:rsid w:val="00DD1364"/>
    <w:rsid w:val="00DD3AB0"/>
    <w:rsid w:val="00E07CF4"/>
    <w:rsid w:val="00E37701"/>
    <w:rsid w:val="00E75A58"/>
    <w:rsid w:val="00EA2937"/>
    <w:rsid w:val="00F56855"/>
    <w:rsid w:val="00F60830"/>
    <w:rsid w:val="00F80970"/>
    <w:rsid w:val="00F827BB"/>
    <w:rsid w:val="00F87865"/>
    <w:rsid w:val="00FA6057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243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24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6</cp:revision>
  <dcterms:created xsi:type="dcterms:W3CDTF">2023-09-28T05:41:00Z</dcterms:created>
  <dcterms:modified xsi:type="dcterms:W3CDTF">2023-10-04T08:20:00Z</dcterms:modified>
</cp:coreProperties>
</file>