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8" w:rsidRDefault="00B13FD8" w:rsidP="00B13FD8">
      <w:pPr>
        <w:jc w:val="right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Додаток №1</w:t>
      </w:r>
      <w:r>
        <w:rPr>
          <w:rFonts w:ascii="Times New Roman" w:hAnsi="Times New Roman" w:cs="Times New Roman"/>
          <w:i/>
          <w:sz w:val="24"/>
          <w:lang w:val="uk-UA"/>
        </w:rPr>
        <w:t xml:space="preserve"> до тендерної документації </w:t>
      </w:r>
    </w:p>
    <w:p w:rsidR="00B13FD8" w:rsidRDefault="00B13FD8" w:rsidP="00B13FD8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Кваліфікаційні критерії</w:t>
      </w:r>
    </w:p>
    <w:tbl>
      <w:tblPr>
        <w:tblStyle w:val="a5"/>
        <w:tblW w:w="10343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6804"/>
      </w:tblGrid>
      <w:tr w:rsid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Назва кваліфікаційного критерію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Спосіб підтвердження кваліфікаційного критерію</w:t>
            </w:r>
          </w:p>
        </w:tc>
      </w:tr>
      <w:tr w:rsidR="00B13FD8" w:rsidRP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0" w:rsidRPr="00D91390" w:rsidRDefault="00B13FD8" w:rsidP="00873D76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</w:t>
            </w:r>
            <w:r w:rsidR="00D913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  <w:r w:rsidR="00D91390" w:rsidRPr="00D913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91390" w:rsidRPr="00D9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Аналогічним договором вважається договір на  поставку будь-якого товару за </w:t>
            </w:r>
            <w:r w:rsidR="00D91390" w:rsidRPr="00D913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ДК 021:2015: </w:t>
            </w:r>
            <w:r w:rsidR="00873D76" w:rsidRPr="00873D7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33190000-8 Медичне обладнання та вироби медичного призначення різні</w:t>
            </w:r>
            <w:r w:rsidR="00873D76" w:rsidRPr="00D913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D91390" w:rsidRPr="00D913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або товару, який є предметом закупівлі.</w:t>
            </w:r>
          </w:p>
          <w:p w:rsidR="00B13FD8" w:rsidRDefault="00D91390" w:rsidP="00873D76">
            <w:pPr>
              <w:suppressAutoHyphens w:val="0"/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91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Інформація та документи можуть надаватися про частково виконаний  договір, дія якого не закінчена.</w:t>
            </w:r>
          </w:p>
          <w:p w:rsidR="00B13FD8" w:rsidRPr="00D91390" w:rsidRDefault="00B13FD8" w:rsidP="00D91390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Форма 1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3"/>
              <w:gridCol w:w="2189"/>
              <w:gridCol w:w="1881"/>
              <w:gridCol w:w="2015"/>
            </w:tblGrid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3FD8" w:rsidRDefault="00B13FD8" w:rsidP="00B13FD8">
      <w:pPr>
        <w:rPr>
          <w:rFonts w:ascii="Times New Roman" w:hAnsi="Times New Roman" w:cs="Times New Roman"/>
          <w:i/>
          <w:sz w:val="24"/>
          <w:lang w:val="uk-UA"/>
        </w:rPr>
      </w:pPr>
    </w:p>
    <w:p w:rsidR="00B13FD8" w:rsidRPr="00FE7504" w:rsidRDefault="00461550" w:rsidP="00461550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640766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Вимоги до учасників та переможця щодо підтвердження відсутності підстав для відмови в участі у відкритих торгах</w:t>
      </w:r>
      <w:r w:rsidR="00B13FD8" w:rsidRPr="00FE75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(пункт 47 Особливостей). 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Учасник проц</w:t>
      </w:r>
      <w:r>
        <w:rPr>
          <w:rFonts w:ascii="Times New Roman" w:hAnsi="Times New Roman"/>
          <w:sz w:val="24"/>
          <w:szCs w:val="28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13FD8" w:rsidRDefault="00B13FD8" w:rsidP="00D91390">
      <w:pPr>
        <w:pStyle w:val="a4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47 Особливостей.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Для об’єднання учасників як учасника процедури закупівлі замовником зазначаються </w:t>
      </w:r>
      <w:r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8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tbl>
      <w:tblPr>
        <w:tblW w:w="105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4"/>
        <w:gridCol w:w="3557"/>
        <w:gridCol w:w="2765"/>
        <w:gridCol w:w="3509"/>
      </w:tblGrid>
      <w:tr w:rsid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учасника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Для переможця</w:t>
            </w:r>
          </w:p>
        </w:tc>
      </w:tr>
      <w:tr w:rsid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F649D4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  <w:p w:rsidR="00F649D4" w:rsidRDefault="00F649D4" w:rsidP="00F649D4">
            <w:pPr>
              <w:spacing w:after="0" w:line="1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F649D4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lang w:val="uk-UA"/>
              </w:rPr>
              <w:t>підстав, визначених цим підпунктом.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4822D1" w:rsidRDefault="004822D1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640766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  <w:p w:rsidR="004822D1" w:rsidRDefault="004822D1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F649D4">
            <w:pPr>
              <w:spacing w:after="0" w:line="100" w:lineRule="atLeast"/>
              <w:rPr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6" w:history="1">
              <w:r w:rsidRPr="006407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https://corruptinfo.nazk.gov.ua/»</w:t>
              </w:r>
            </w:hyperlink>
          </w:p>
        </w:tc>
      </w:tr>
      <w:tr w:rsid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  <w:r w:rsidR="004822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22D1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="004822D1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</w:t>
            </w:r>
            <w:r>
              <w:rPr>
                <w:rFonts w:ascii="Times New Roman" w:hAnsi="Times New Roman" w:cs="Times New Roman"/>
              </w:rPr>
              <w:lastRenderedPageBreak/>
              <w:t>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4822D1" w:rsidRDefault="004822D1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таких підстав в електронній системі закупівель під час подання тендерної пропозиції.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Витяг про притягнення до кримінальної відповідальності, відсутність/ наявність судимості або обмежень, передбачених кримінально-процесуальним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законодавством України (щодо керівника)</w:t>
            </w:r>
          </w:p>
        </w:tc>
      </w:tr>
      <w:tr w:rsidR="00B13FD8" w:rsidRPr="00B13FD8" w:rsidTr="00F649D4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 w:rsidR="009E3FD7" w:rsidRDefault="009E3FD7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  <w:p w:rsidR="000F0BDB" w:rsidRDefault="000F0BDB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07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підстав, визначених цим підпунктом.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  <w:p w:rsidR="00B465EF" w:rsidRDefault="00B465EF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407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F649D4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4822D1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  <w:r w:rsidR="00B465EF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B465EF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="00B465EF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F649D4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  <w:r w:rsidR="00B465EF" w:rsidRPr="00640766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465EF" w:rsidRPr="00640766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B465EF" w:rsidRPr="00640766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>підпункт 10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B465EF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="00B465EF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="00B465EF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F649D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B465EF">
            <w:pPr>
              <w:spacing w:after="0" w:line="100" w:lineRule="atLeast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B465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65EF"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 єсистемі закупівель під час подання тендерної пропозиції.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RPr="00640766" w:rsidTr="00F649D4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 w:rsidP="00B465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B465EF" w:rsidRDefault="00B465EF" w:rsidP="00B465EF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07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(абзац 14 пункту 47 Особливостей)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r>
              <w:rPr>
                <w:rFonts w:ascii="Times New Roman" w:hAnsi="Times New Roman" w:cs="Times New Roman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8" w:rsidRPr="00B465EF" w:rsidRDefault="00B13FD8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hAnsi="Times New Roman" w:cs="Times New Roman"/>
              </w:rPr>
              <w:t>— протягом трьох років з дати дострокового розірвання такого договору.</w:t>
            </w:r>
          </w:p>
          <w:p w:rsidR="00B13FD8" w:rsidRDefault="00B13FD8">
            <w:pPr>
              <w:pStyle w:val="a3"/>
              <w:widowControl w:val="0"/>
              <w:ind w:firstLine="0"/>
              <w:jc w:val="both"/>
            </w:pPr>
            <w:r>
              <w:rPr>
                <w:rFonts w:ascii="Times New Roman" w:hAnsi="Times New Roman"/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40766" w:rsidRPr="00640766" w:rsidRDefault="00640766" w:rsidP="00640766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4076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640766" w:rsidRPr="00640766" w:rsidRDefault="00640766" w:rsidP="00640766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40766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640766" w:rsidRPr="00640766" w:rsidRDefault="00640766" w:rsidP="00640766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B465EF">
      <w:pPr>
        <w:suppressAutoHyphens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B465EF">
      <w:pPr>
        <w:suppressAutoHyphens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bookmarkStart w:id="0" w:name="_GoBack"/>
      <w:bookmarkEnd w:id="0"/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640766" w:rsidRDefault="00640766" w:rsidP="00640766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640766" w:rsidRPr="00B13FD8" w:rsidRDefault="00640766">
      <w:pPr>
        <w:rPr>
          <w:rFonts w:ascii="Times New Roman" w:hAnsi="Times New Roman" w:cs="Times New Roman"/>
          <w:lang w:val="uk-UA"/>
        </w:rPr>
      </w:pPr>
    </w:p>
    <w:sectPr w:rsidR="00640766" w:rsidRPr="00B13FD8" w:rsidSect="00B465EF">
      <w:pgSz w:w="11906" w:h="16838" w:code="9"/>
      <w:pgMar w:top="709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charset w:val="CC"/>
    <w:family w:val="roman"/>
    <w:pitch w:val="variable"/>
  </w:font>
  <w:font w:name="IBM Plex Serif">
    <w:altName w:val="Times New Roman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2"/>
    <w:rsid w:val="000F0BDB"/>
    <w:rsid w:val="0021765E"/>
    <w:rsid w:val="00461550"/>
    <w:rsid w:val="00476447"/>
    <w:rsid w:val="004822D1"/>
    <w:rsid w:val="00640766"/>
    <w:rsid w:val="006D0C1D"/>
    <w:rsid w:val="00873D76"/>
    <w:rsid w:val="008D44B3"/>
    <w:rsid w:val="009E3FD7"/>
    <w:rsid w:val="00B13FD8"/>
    <w:rsid w:val="00B465EF"/>
    <w:rsid w:val="00C80F72"/>
    <w:rsid w:val="00D91390"/>
    <w:rsid w:val="00F649D4"/>
    <w:rsid w:val="00FE7504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BA8B"/>
  <w15:chartTrackingRefBased/>
  <w15:docId w15:val="{11448587-74AF-42F6-B76B-4576846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8"/>
    <w:pPr>
      <w:suppressAutoHyphens/>
      <w:spacing w:after="200" w:line="276" w:lineRule="auto"/>
    </w:pPr>
    <w:rPr>
      <w:rFonts w:ascii="Calibri" w:eastAsia="SimSu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13FD8"/>
    <w:pPr>
      <w:spacing w:before="120" w:after="0" w:line="100" w:lineRule="atLeast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Содержимое таблицы"/>
    <w:basedOn w:val="a"/>
    <w:rsid w:val="00B13FD8"/>
    <w:pPr>
      <w:suppressLineNumbers/>
    </w:pPr>
  </w:style>
  <w:style w:type="table" w:styleId="a5">
    <w:name w:val="Table Grid"/>
    <w:basedOn w:val="a1"/>
    <w:uiPriority w:val="39"/>
    <w:rsid w:val="00B13FD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6354-FF1F-45EF-9FA6-17A6F02E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2027</Words>
  <Characters>11558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23</cp:revision>
  <dcterms:created xsi:type="dcterms:W3CDTF">2023-11-03T12:27:00Z</dcterms:created>
  <dcterms:modified xsi:type="dcterms:W3CDTF">2024-01-19T15:01:00Z</dcterms:modified>
</cp:coreProperties>
</file>