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50" w:rsidRDefault="00E00E50" w:rsidP="00E00E50">
      <w:pPr>
        <w:rPr>
          <w:noProof/>
          <w:lang w:val="uk-UA" w:eastAsia="uk-UA"/>
        </w:rPr>
      </w:pPr>
    </w:p>
    <w:p w:rsidR="00B13708" w:rsidRDefault="00D349ED" w:rsidP="00B13708">
      <w:pPr>
        <w:tabs>
          <w:tab w:val="left" w:pos="4340"/>
        </w:tabs>
        <w:jc w:val="center"/>
        <w:rPr>
          <w:b/>
          <w:bCs/>
          <w:lang w:val="uk-UA"/>
        </w:rPr>
      </w:pPr>
      <w:r>
        <w:rPr>
          <w:noProof/>
          <w:lang w:val="uk-UA" w:eastAsia="uk-UA"/>
        </w:rPr>
        <w:drawing>
          <wp:inline distT="0" distB="0" distL="0" distR="0" wp14:anchorId="798BFECB" wp14:editId="6743B2EA">
            <wp:extent cx="6362700" cy="8514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8514080"/>
                    </a:xfrm>
                    <a:prstGeom prst="rect">
                      <a:avLst/>
                    </a:prstGeom>
                  </pic:spPr>
                </pic:pic>
              </a:graphicData>
            </a:graphic>
          </wp:inline>
        </w:drawing>
      </w: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p>
    <w:p w:rsidR="00D349ED" w:rsidRDefault="00D349ED" w:rsidP="00B13708">
      <w:pPr>
        <w:tabs>
          <w:tab w:val="left" w:pos="4340"/>
        </w:tabs>
        <w:jc w:val="center"/>
        <w:rPr>
          <w:b/>
          <w:bCs/>
          <w:lang w:val="uk-UA"/>
        </w:rPr>
      </w:pPr>
      <w:bookmarkStart w:id="0" w:name="_GoBack"/>
      <w:bookmarkEnd w:id="0"/>
    </w:p>
    <w:p w:rsidR="00CC6BE7" w:rsidRPr="00094409" w:rsidRDefault="00CC6BE7"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t xml:space="preserve">Зміст тендерної документації </w:t>
      </w:r>
    </w:p>
    <w:p w:rsidR="00094409" w:rsidRPr="00094409" w:rsidRDefault="00094409" w:rsidP="00094409">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094409" w:rsidRPr="002D00AE" w:rsidTr="002771F4">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2771F4">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2771F4">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4322DF">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18</w:t>
            </w:r>
          </w:p>
        </w:tc>
      </w:tr>
      <w:tr w:rsidR="00094409" w:rsidRPr="002D00AE" w:rsidTr="002771F4">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094409">
            <w:pPr>
              <w:jc w:val="center"/>
              <w:rPr>
                <w:sz w:val="22"/>
                <w:szCs w:val="22"/>
                <w:lang w:val="uk-UA"/>
              </w:rPr>
            </w:pPr>
            <w:r>
              <w:rPr>
                <w:sz w:val="22"/>
                <w:szCs w:val="22"/>
                <w:lang w:val="uk-UA"/>
              </w:rPr>
              <w:t>20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332F97">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 xml:space="preserve">Вимоги, установлені </w:t>
            </w:r>
            <w:r w:rsidR="004322DF">
              <w:rPr>
                <w:sz w:val="22"/>
                <w:szCs w:val="22"/>
                <w:lang w:val="uk-UA"/>
              </w:rPr>
              <w:t>пунктом 44 Особливостей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26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Pr="002D00AE">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3</w:t>
            </w:r>
            <w:r w:rsidR="00FC3033">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30</w:t>
            </w:r>
          </w:p>
        </w:tc>
      </w:tr>
      <w:tr w:rsidR="00094409"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FC3033" w:rsidP="00094409">
            <w:pPr>
              <w:tabs>
                <w:tab w:val="left" w:pos="459"/>
              </w:tabs>
              <w:snapToGrid w:val="0"/>
              <w:ind w:left="459" w:hanging="459"/>
              <w:rPr>
                <w:sz w:val="22"/>
                <w:szCs w:val="22"/>
                <w:lang w:val="uk-UA"/>
              </w:rPr>
            </w:pPr>
            <w:r w:rsidRPr="002D00AE">
              <w:rPr>
                <w:sz w:val="22"/>
                <w:szCs w:val="22"/>
                <w:lang w:val="uk-UA"/>
              </w:rPr>
              <w:t>Технічні вимоги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bl>
    <w:p w:rsidR="008A52CA" w:rsidRDefault="008A52CA" w:rsidP="00094409">
      <w:pPr>
        <w:tabs>
          <w:tab w:val="left" w:pos="4340"/>
        </w:tabs>
        <w:rPr>
          <w:lang w:val="uk-UA"/>
        </w:rPr>
      </w:pPr>
    </w:p>
    <w:p w:rsidR="00FC3033" w:rsidRPr="00094409"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w:t>
            </w:r>
            <w:r w:rsidR="00746517">
              <w:rPr>
                <w:lang w:val="uk-UA"/>
              </w:rPr>
              <w:t>и Кабінету Міністрів України</w:t>
            </w:r>
            <w:r w:rsidRPr="009438EA">
              <w:rPr>
                <w:lang w:val="uk-UA"/>
              </w:rPr>
              <w:t xml:space="preserve">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504AB4" w:rsidRDefault="00B13708" w:rsidP="004F3634">
            <w:pPr>
              <w:keepLines/>
              <w:autoSpaceDE w:val="0"/>
              <w:autoSpaceDN w:val="0"/>
              <w:jc w:val="both"/>
            </w:pPr>
            <w:r>
              <w:t>«</w:t>
            </w:r>
            <w:r w:rsidRPr="00FD1E11">
              <w:t>ДК 021:2015 –</w:t>
            </w:r>
            <w:r w:rsidR="00504AB4">
              <w:t xml:space="preserve"> 09130000-9 «Нафта і дистиляти» </w:t>
            </w:r>
          </w:p>
          <w:p w:rsidR="001365C9" w:rsidRPr="00504AB4" w:rsidRDefault="00B13708" w:rsidP="004F3634">
            <w:pPr>
              <w:keepLines/>
              <w:autoSpaceDE w:val="0"/>
              <w:autoSpaceDN w:val="0"/>
              <w:jc w:val="both"/>
            </w:pPr>
            <w:r w:rsidRPr="00FD1E11">
              <w:t>(Бензин А-95)</w:t>
            </w:r>
            <w:r>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1370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Pr="00DC1C07" w:rsidRDefault="00FD5A4B" w:rsidP="00B1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lang w:val="uk-UA"/>
              </w:rPr>
            </w:pPr>
            <w:r w:rsidRPr="00F633EA">
              <w:rPr>
                <w:snapToGrid w:val="0"/>
                <w:lang w:val="uk-UA"/>
              </w:rPr>
              <w:t>Місце</w:t>
            </w:r>
            <w:r w:rsidR="00191D4D">
              <w:rPr>
                <w:snapToGrid w:val="0"/>
                <w:lang w:val="uk-UA"/>
              </w:rPr>
              <w:t xml:space="preserve"> </w:t>
            </w:r>
            <w:r w:rsidR="00165E72">
              <w:rPr>
                <w:snapToGrid w:val="0"/>
                <w:lang w:val="uk-UA"/>
              </w:rPr>
              <w:t>поставки товару</w:t>
            </w:r>
            <w:r w:rsidR="00897EC3">
              <w:rPr>
                <w:snapToGrid w:val="0"/>
                <w:lang w:val="uk-UA"/>
              </w:rPr>
              <w:t xml:space="preserve"> </w:t>
            </w:r>
            <w:r w:rsidRPr="00F633EA">
              <w:rPr>
                <w:snapToGrid w:val="0"/>
                <w:lang w:val="uk-UA"/>
              </w:rPr>
              <w:t xml:space="preserve"> – </w:t>
            </w:r>
            <w:r w:rsidR="00EB517C">
              <w:rPr>
                <w:snapToGrid w:val="0"/>
                <w:lang w:val="uk-UA"/>
              </w:rPr>
              <w:t xml:space="preserve">14000, Україна, Чернігівська обл., м. Чернігів, </w:t>
            </w:r>
            <w:r w:rsidR="00B13708" w:rsidRPr="00E57B4E">
              <w:rPr>
                <w:lang w:val="uk-UA"/>
              </w:rPr>
              <w:t xml:space="preserve">вул. Єлецька, 11; </w:t>
            </w:r>
          </w:p>
          <w:p w:rsidR="00AD08D7" w:rsidRPr="008F43DE" w:rsidRDefault="00AD08D7" w:rsidP="00B13708">
            <w:pPr>
              <w:jc w:val="both"/>
              <w:rPr>
                <w:snapToGrid w:val="0"/>
                <w:color w:val="FF0000"/>
                <w:lang w:val="uk-UA"/>
              </w:rPr>
            </w:pPr>
            <w:r w:rsidRPr="00DC1C07">
              <w:rPr>
                <w:snapToGrid w:val="0"/>
                <w:lang w:val="uk-UA"/>
              </w:rPr>
              <w:t xml:space="preserve">Кількість – </w:t>
            </w:r>
            <w:r w:rsidR="00B13708">
              <w:rPr>
                <w:snapToGrid w:val="0"/>
                <w:lang w:val="uk-UA"/>
              </w:rPr>
              <w:t>5000 літрів</w:t>
            </w:r>
            <w:r w:rsidR="004F3634" w:rsidRPr="00DC1C07">
              <w:rPr>
                <w:snapToGrid w:val="0"/>
                <w:lang w:val="uk-UA"/>
              </w:rPr>
              <w:t>.</w:t>
            </w:r>
          </w:p>
        </w:tc>
      </w:tr>
      <w:tr w:rsidR="001365C9" w:rsidRPr="00165E72"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D349ED">
            <w:pPr>
              <w:tabs>
                <w:tab w:val="left" w:pos="2160"/>
                <w:tab w:val="left" w:pos="3600"/>
              </w:tabs>
              <w:rPr>
                <w:lang w:val="uk-UA"/>
              </w:rPr>
            </w:pPr>
            <w:r>
              <w:rPr>
                <w:lang w:val="uk-UA"/>
              </w:rPr>
              <w:t xml:space="preserve">До </w:t>
            </w:r>
            <w:r w:rsidR="00D349ED">
              <w:rPr>
                <w:lang w:val="uk-UA"/>
              </w:rPr>
              <w:t>30 квітня</w:t>
            </w:r>
            <w:r w:rsidR="00C80497" w:rsidRPr="008C0F35">
              <w:rPr>
                <w:lang w:val="uk-UA"/>
              </w:rPr>
              <w:t xml:space="preserve">  202</w:t>
            </w:r>
            <w:r w:rsidR="00897EC3">
              <w:rPr>
                <w:lang w:val="uk-UA"/>
              </w:rPr>
              <w:t>3</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1" w:name="18"/>
            <w:bookmarkEnd w:id="1"/>
            <w:r w:rsidRPr="00165E72">
              <w:rPr>
                <w:lang w:val="uk-UA"/>
              </w:rPr>
              <w:t>Учас</w:t>
            </w:r>
            <w:r w:rsidRPr="0054290F">
              <w:t>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w:t>
            </w:r>
            <w:r w:rsidRPr="0054290F">
              <w:rPr>
                <w:b/>
                <w:lang w:val="uk-UA" w:eastAsia="en-US"/>
              </w:rPr>
              <w:lastRenderedPageBreak/>
              <w:t xml:space="preserve">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lastRenderedPageBreak/>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 xml:space="preserve">У разі, якщо учасником процедури закупівлі є </w:t>
            </w:r>
            <w:r w:rsidRPr="0054290F">
              <w:rPr>
                <w:lang w:val="uk-UA"/>
              </w:rPr>
              <w:lastRenderedPageBreak/>
              <w:t>нерезидент, такий учасник зазначає ціну тендерної пропозиції у валюті - гривня.</w:t>
            </w:r>
          </w:p>
        </w:tc>
      </w:tr>
      <w:tr w:rsidR="00802D72"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9A57F4">
            <w:pPr>
              <w:widowControl w:val="0"/>
              <w:ind w:firstLine="512"/>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9A57F4">
            <w:pPr>
              <w:widowControl w:val="0"/>
              <w:ind w:firstLine="512"/>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Default="00802D72" w:rsidP="009A57F4">
            <w:pPr>
              <w:widowControl w:val="0"/>
              <w:ind w:firstLine="512"/>
              <w:jc w:val="both"/>
              <w:rPr>
                <w:highlight w:val="white"/>
                <w:lang w:val="uk-UA"/>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9A57F4" w:rsidRDefault="00802D72" w:rsidP="009A57F4">
            <w:pPr>
              <w:widowControl w:val="0"/>
              <w:ind w:firstLine="512"/>
              <w:jc w:val="both"/>
              <w:rPr>
                <w:highlight w:val="white"/>
                <w:lang w:val="uk-UA"/>
              </w:rPr>
            </w:pPr>
            <w:r w:rsidRPr="009A57F4">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57F4">
              <w:rPr>
                <w:b/>
                <w:highlight w:val="white"/>
                <w:lang w:val="uk-UA"/>
              </w:rPr>
              <w:t>не менш як на чотири дні.</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w:t>
            </w:r>
            <w:r>
              <w:rPr>
                <w:highlight w:val="white"/>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lastRenderedPageBreak/>
              <w:t>Інструкція з підготовки тендерної пропозиції</w:t>
            </w:r>
          </w:p>
        </w:tc>
      </w:tr>
      <w:tr w:rsidR="00ED68D8"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w:t>
            </w:r>
            <w:r w:rsidRPr="00F633EA">
              <w:rPr>
                <w:lang w:val="uk-UA"/>
              </w:rPr>
              <w:lastRenderedPageBreak/>
              <w:t>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EB6C22">
            <w:pPr>
              <w:pStyle w:val="af5"/>
              <w:widowControl w:val="0"/>
              <w:numPr>
                <w:ilvl w:val="0"/>
                <w:numId w:val="15"/>
              </w:numPr>
              <w:tabs>
                <w:tab w:val="left" w:pos="742"/>
              </w:tabs>
              <w:spacing w:before="120" w:after="120"/>
              <w:ind w:left="0" w:firstLine="318"/>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B6C22" w:rsidRDefault="005D38DC" w:rsidP="00EB6C22">
            <w:pPr>
              <w:pStyle w:val="af5"/>
              <w:widowControl w:val="0"/>
              <w:numPr>
                <w:ilvl w:val="0"/>
                <w:numId w:val="15"/>
              </w:numPr>
              <w:spacing w:before="120" w:after="120"/>
              <w:ind w:left="0" w:firstLine="318"/>
              <w:jc w:val="both"/>
            </w:pPr>
            <w:r w:rsidRPr="00E57B4E">
              <w:t xml:space="preserve">інформацією щодо відповідності учасника вимогам, визначеним у </w:t>
            </w:r>
            <w:r w:rsidR="005B1C07">
              <w:t>пункті 44 Особливостей</w:t>
            </w:r>
            <w:r w:rsidRPr="00E57B4E">
              <w:t xml:space="preserve"> згідно з </w:t>
            </w:r>
            <w:r w:rsidRPr="00E57B4E">
              <w:rPr>
                <w:b/>
                <w:bCs/>
              </w:rPr>
              <w:t>ДОДАТКОМ 3</w:t>
            </w:r>
            <w:r w:rsidRPr="00E57B4E">
              <w:t xml:space="preserve"> до тендерної документації</w:t>
            </w:r>
            <w:r w:rsidRPr="00E57B4E">
              <w:rPr>
                <w:bCs/>
              </w:rP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00B35731">
              <w:rPr>
                <w:b/>
                <w:bCs/>
                <w:lang w:val="uk-UA"/>
              </w:rPr>
              <w:t>4</w:t>
            </w:r>
            <w:r w:rsidRPr="00E57B4E">
              <w:t xml:space="preserve"> до тендерної </w:t>
            </w:r>
            <w:r w:rsidRPr="0066326E">
              <w:t>документації</w:t>
            </w:r>
            <w:r w:rsidRPr="0066326E">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00F43DA2">
              <w:rPr>
                <w:lang w:val="uk-UA"/>
              </w:rPr>
              <w:t xml:space="preserve">    </w:t>
            </w:r>
            <w:r w:rsidRPr="00E57B4E">
              <w:rPr>
                <w:b/>
                <w:lang w:val="uk-UA" w:eastAsia="en-US"/>
              </w:rPr>
              <w:t xml:space="preserve">ДОДАТКУ </w:t>
            </w:r>
            <w:r w:rsidR="00B35731">
              <w:rPr>
                <w:b/>
                <w:lang w:val="uk-UA" w:eastAsia="en-US"/>
              </w:rPr>
              <w:t>5</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замовником у </w:t>
            </w:r>
            <w:r w:rsidRPr="005466C7">
              <w:rPr>
                <w:b/>
                <w:iCs/>
                <w:lang w:val="uk-UA"/>
              </w:rPr>
              <w:t xml:space="preserve">ДОДАТКУ </w:t>
            </w:r>
            <w:r w:rsidR="00B35731">
              <w:rPr>
                <w:b/>
                <w:iCs/>
                <w:lang w:val="uk-UA"/>
              </w:rPr>
              <w:t>6</w:t>
            </w:r>
            <w:r>
              <w:rPr>
                <w:iCs/>
                <w:lang w:val="uk-UA"/>
              </w:rPr>
              <w:t xml:space="preserve"> «Технічні вимоги»;</w:t>
            </w:r>
          </w:p>
          <w:p w:rsidR="00EA115F" w:rsidRDefault="005D38DC"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w:t>
            </w:r>
            <w:r w:rsidRPr="0044573B">
              <w:rPr>
                <w:rFonts w:ascii="Times New Roman" w:hAnsi="Times New Roman" w:cs="Times New Roman"/>
                <w:lang w:val="uk-UA"/>
              </w:rPr>
              <w:lastRenderedPageBreak/>
              <w:t>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2" w:name="n815"/>
            <w:bookmarkEnd w:id="2"/>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w:t>
            </w:r>
            <w:r w:rsidRPr="00E57B4E">
              <w:rPr>
                <w:lang w:val="uk-UA"/>
              </w:rPr>
              <w:lastRenderedPageBreak/>
              <w:t xml:space="preserve">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протягом якого </w:t>
            </w:r>
            <w:r w:rsidRPr="00E57B4E">
              <w:rPr>
                <w:b/>
                <w:lang w:val="uk-UA" w:eastAsia="en-US"/>
              </w:rPr>
              <w:lastRenderedPageBreak/>
              <w:t>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lastRenderedPageBreak/>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lastRenderedPageBreak/>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3F1263">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44 Особливостей</w:t>
            </w:r>
          </w:p>
        </w:tc>
        <w:tc>
          <w:tcPr>
            <w:tcW w:w="6431" w:type="dxa"/>
            <w:gridSpan w:val="2"/>
            <w:tcBorders>
              <w:top w:val="single" w:sz="4" w:space="0" w:color="auto"/>
              <w:left w:val="single" w:sz="4" w:space="0" w:color="auto"/>
              <w:bottom w:val="single" w:sz="4" w:space="0" w:color="auto"/>
              <w:right w:val="single" w:sz="4" w:space="0" w:color="auto"/>
            </w:tcBorders>
          </w:tcPr>
          <w:p w:rsidR="001A5F3C" w:rsidRDefault="001A5F3C" w:rsidP="001A5F3C">
            <w:pPr>
              <w:pStyle w:val="a6"/>
              <w:tabs>
                <w:tab w:val="left" w:pos="637"/>
              </w:tabs>
              <w:spacing w:before="0" w:beforeAutospacing="0" w:after="0" w:afterAutospacing="0"/>
              <w:ind w:firstLine="354"/>
              <w:jc w:val="both"/>
              <w:rPr>
                <w:lang w:val="uk-UA"/>
              </w:rPr>
            </w:pPr>
            <w:r w:rsidRPr="0054290F">
              <w:rPr>
                <w:lang w:val="uk-UA"/>
              </w:rPr>
              <w:t>На підставі статті 16 Закону Замовн</w:t>
            </w:r>
            <w:r>
              <w:rPr>
                <w:lang w:val="uk-UA"/>
              </w:rPr>
              <w:t>иком встан</w:t>
            </w:r>
            <w:r w:rsidR="00CB4FD2">
              <w:rPr>
                <w:lang w:val="uk-UA"/>
              </w:rPr>
              <w:t>овлено кваліфікаційні критері</w:t>
            </w:r>
            <w:r w:rsidR="003F1263">
              <w:rPr>
                <w:lang w:val="uk-UA"/>
              </w:rPr>
              <w:t>ї</w:t>
            </w:r>
            <w:r w:rsidR="00CB4FD2">
              <w:rPr>
                <w:lang w:val="uk-UA"/>
              </w:rPr>
              <w:t>:</w:t>
            </w:r>
          </w:p>
          <w:p w:rsidR="00CB4FD2" w:rsidRPr="00E57B4E"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E57B4E">
              <w:rPr>
                <w:lang w:eastAsia="uk-UA"/>
              </w:rPr>
              <w:t xml:space="preserve">наявність в учасника процедури закупівлі обладнання, </w:t>
            </w:r>
            <w:r>
              <w:rPr>
                <w:lang w:eastAsia="uk-UA"/>
              </w:rPr>
              <w:t>матеріально-технічної бази</w:t>
            </w:r>
            <w:r w:rsidRPr="00E57B4E">
              <w:rPr>
                <w:lang w:eastAsia="uk-UA"/>
              </w:rPr>
              <w:t>;</w:t>
            </w:r>
          </w:p>
          <w:p w:rsidR="00CB4FD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E57B4E">
              <w:rPr>
                <w:lang w:eastAsia="uk-UA"/>
              </w:rPr>
              <w:t>наявність в учасника процедури закупівлі працівників відповідної кваліфікації, які мають необхідні знання та досвід</w:t>
            </w:r>
            <w:r>
              <w:rPr>
                <w:lang w:eastAsia="uk-UA"/>
              </w:rPr>
              <w:t>;</w:t>
            </w:r>
          </w:p>
          <w:p w:rsidR="00CB4FD2" w:rsidRDefault="00CB4FD2" w:rsidP="00CB4FD2">
            <w:pPr>
              <w:pStyle w:val="af5"/>
              <w:numPr>
                <w:ilvl w:val="0"/>
                <w:numId w:val="20"/>
              </w:numPr>
              <w:shd w:val="clear" w:color="auto" w:fill="FFFFFF"/>
              <w:tabs>
                <w:tab w:val="left" w:pos="884"/>
              </w:tabs>
              <w:spacing w:after="157"/>
              <w:ind w:left="0" w:firstLine="495"/>
              <w:jc w:val="both"/>
              <w:textAlignment w:val="baseline"/>
              <w:rPr>
                <w:color w:val="000000"/>
              </w:rPr>
            </w:pPr>
            <w:r w:rsidRPr="00E90DE8">
              <w:rPr>
                <w:color w:val="000000"/>
              </w:rPr>
              <w:t>наявність документально підтвердженого досвіду виконання аналогічного (аналогічних) за предметом закупівлі договору (договорів)</w:t>
            </w:r>
            <w:bookmarkStart w:id="3" w:name="n1256"/>
            <w:bookmarkEnd w:id="3"/>
            <w:r w:rsidR="004016A1">
              <w:rPr>
                <w:color w:val="000000"/>
              </w:rPr>
              <w:t>.</w:t>
            </w:r>
          </w:p>
          <w:p w:rsidR="001A5F3C" w:rsidRPr="0054290F" w:rsidRDefault="001A5F3C" w:rsidP="00992E37">
            <w:pPr>
              <w:pStyle w:val="a6"/>
              <w:tabs>
                <w:tab w:val="left" w:pos="637"/>
              </w:tabs>
              <w:spacing w:before="0" w:beforeAutospacing="0" w:after="0" w:afterAutospacing="0"/>
              <w:ind w:firstLine="512"/>
              <w:jc w:val="both"/>
              <w:rPr>
                <w:lang w:val="uk-UA"/>
              </w:rPr>
            </w:pPr>
            <w:bookmarkStart w:id="4" w:name="n289"/>
            <w:bookmarkEnd w:id="4"/>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C06394">
              <w:rPr>
                <w:lang w:val="uk-UA"/>
              </w:rPr>
              <w:t xml:space="preserve"> </w:t>
            </w:r>
            <w:r w:rsidR="00992E37" w:rsidRPr="0054290F">
              <w:rPr>
                <w:lang w:val="uk-UA"/>
              </w:rPr>
              <w:t>учасників</w:t>
            </w:r>
            <w:r w:rsidR="00992E37">
              <w:rPr>
                <w:lang w:val="uk-UA"/>
              </w:rPr>
              <w:t xml:space="preserve"> </w:t>
            </w:r>
            <w:r w:rsidR="00C06394">
              <w:rPr>
                <w:lang w:val="uk-UA"/>
              </w:rPr>
              <w:t xml:space="preserve">процедури закупілі </w:t>
            </w:r>
            <w:r w:rsidRPr="0054290F">
              <w:rPr>
                <w:lang w:val="uk-UA"/>
              </w:rPr>
              <w:t xml:space="preserve">встановленим критеріям </w:t>
            </w:r>
            <w:r w:rsidR="00C06394">
              <w:rPr>
                <w:lang w:val="uk-UA"/>
              </w:rPr>
              <w:t xml:space="preserve">і вимогам </w:t>
            </w:r>
            <w:r w:rsidRPr="0054290F">
              <w:rPr>
                <w:lang w:val="uk-UA"/>
              </w:rPr>
              <w:t>згідно із законодавством. </w:t>
            </w:r>
          </w:p>
          <w:p w:rsidR="001A5F3C" w:rsidRPr="0054290F" w:rsidRDefault="001A5F3C" w:rsidP="00992E37">
            <w:pPr>
              <w:pStyle w:val="a6"/>
              <w:shd w:val="clear" w:color="auto" w:fill="FFFFFF"/>
              <w:spacing w:before="0" w:beforeAutospacing="0" w:after="0" w:afterAutospacing="0"/>
              <w:ind w:firstLine="512"/>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A80FAF" w:rsidRDefault="00C06394" w:rsidP="001A5F3C">
            <w:pPr>
              <w:pStyle w:val="a6"/>
              <w:spacing w:before="0" w:beforeAutospacing="0" w:after="0" w:afterAutospacing="0"/>
              <w:ind w:firstLine="491"/>
              <w:jc w:val="both"/>
              <w:rPr>
                <w:lang w:val="uk-UA"/>
              </w:rPr>
            </w:pPr>
            <w:r w:rsidRPr="00992E37">
              <w:rPr>
                <w:bCs/>
                <w:lang w:val="uk-UA"/>
              </w:rPr>
              <w:t>Відповідно до п. 44 Особливостей</w:t>
            </w:r>
            <w:r w:rsidR="00992E37">
              <w:rPr>
                <w:b/>
                <w:bCs/>
                <w:lang w:val="uk-UA"/>
              </w:rPr>
              <w:t xml:space="preserve"> </w:t>
            </w:r>
            <w:r w:rsidR="00A80FAF">
              <w:rPr>
                <w:lang w:val="uk-UA"/>
              </w:rPr>
              <w:t>Замовник приймає рішення про відмову учаснику процедури закупівлі в участі у  відкритих торгах та зобов</w:t>
            </w:r>
            <w:r w:rsidR="00A80FAF" w:rsidRPr="00A80FAF">
              <w:t>’</w:t>
            </w:r>
            <w:r w:rsidR="00A80FAF">
              <w:rPr>
                <w:lang w:val="uk-UA"/>
              </w:rPr>
              <w:t>язаний відхилити тендерну пропозицію учасника процедури закупівлі в разі, коли:</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w:t>
            </w:r>
            <w:r w:rsidR="00A80FAF">
              <w:rPr>
                <w:lang w:val="uk-UA"/>
              </w:rPr>
              <w:t>мо чи опосередковано будь-якій с</w:t>
            </w:r>
            <w:r w:rsidRPr="0054290F">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7"/>
            <w:bookmarkEnd w:id="5"/>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6" w:name="n298"/>
            <w:bookmarkEnd w:id="6"/>
            <w:r w:rsidRPr="0054290F">
              <w:rPr>
                <w:rFonts w:ascii="Times New Roman" w:hAnsi="Times New Roman" w:cs="Times New Roman"/>
              </w:rPr>
              <w:t xml:space="preserve">3) </w:t>
            </w:r>
            <w:r w:rsidR="00A80FAF">
              <w:rPr>
                <w:rFonts w:ascii="Times New Roman" w:hAnsi="Times New Roman" w:cs="Times New Roman"/>
              </w:rPr>
              <w:t xml:space="preserve">керівника учасника процедури закупівлі, </w:t>
            </w:r>
            <w:r w:rsidRPr="0054290F">
              <w:rPr>
                <w:rFonts w:ascii="Times New Roman" w:hAnsi="Times New Roman" w:cs="Times New Roman"/>
              </w:rPr>
              <w:t>фізичну особу, яка є учасником</w:t>
            </w:r>
            <w:r w:rsidR="00A80FAF">
              <w:rPr>
                <w:rFonts w:ascii="Times New Roman" w:hAnsi="Times New Roman" w:cs="Times New Roman"/>
              </w:rPr>
              <w:t xml:space="preserve"> процедури закупівлі</w:t>
            </w:r>
            <w:r w:rsidRPr="0054290F">
              <w:rPr>
                <w:rFonts w:ascii="Times New Roman" w:hAnsi="Times New Roman" w:cs="Times New Roman"/>
              </w:rPr>
              <w:t xml:space="preserve">, було </w:t>
            </w:r>
            <w:r w:rsidRPr="0054290F">
              <w:rPr>
                <w:rFonts w:ascii="Times New Roman" w:hAnsi="Times New Roman" w:cs="Times New Roman"/>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bookmarkStart w:id="7" w:name="n299"/>
            <w:bookmarkEnd w:id="7"/>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w:t>
            </w:r>
            <w:r w:rsidR="00A80FAF">
              <w:rPr>
                <w:rFonts w:ascii="Times New Roman" w:hAnsi="Times New Roman" w:cs="Times New Roman"/>
              </w:rPr>
              <w:t xml:space="preserve"> процедури закупівлі</w:t>
            </w:r>
            <w:r w:rsidRPr="0054290F">
              <w:rPr>
                <w:rFonts w:ascii="Times New Roman" w:hAnsi="Times New Roman" w:cs="Times New Roman"/>
              </w:rPr>
              <w:t>) протягом останніх трьох років притягувався до 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8" w:name="n300"/>
            <w:bookmarkEnd w:id="8"/>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Pr>
                <w:rFonts w:ascii="Times New Roman" w:hAnsi="Times New Roman" w:cs="Times New Roman"/>
              </w:rPr>
              <w:t>ю</w:t>
            </w:r>
            <w:r w:rsidRPr="0054290F">
              <w:rPr>
                <w:rFonts w:ascii="Times New Roman" w:hAnsi="Times New Roman" w:cs="Times New Roman"/>
              </w:rPr>
              <w:t xml:space="preserve"> не знято або не погашено у встановленому законом порядку;</w:t>
            </w:r>
            <w:bookmarkStart w:id="9" w:name="n301"/>
            <w:bookmarkEnd w:id="9"/>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 xml:space="preserve">6) </w:t>
            </w:r>
            <w:r w:rsidR="00A80FAF">
              <w:rPr>
                <w:rFonts w:ascii="Times New Roman" w:hAnsi="Times New Roman" w:cs="Times New Roman"/>
              </w:rPr>
              <w:t xml:space="preserve">керівник учасника процедури закупівлі, </w:t>
            </w:r>
            <w:r w:rsidRPr="0054290F">
              <w:rPr>
                <w:rFonts w:ascii="Times New Roman" w:hAnsi="Times New Roman" w:cs="Times New Roman"/>
              </w:rPr>
              <w:t>бу</w:t>
            </w:r>
            <w:r w:rsidR="00A80FAF">
              <w:rPr>
                <w:rFonts w:ascii="Times New Roman" w:hAnsi="Times New Roman" w:cs="Times New Roman"/>
              </w:rPr>
              <w:t>в засуджений</w:t>
            </w:r>
            <w:r w:rsidRPr="0054290F">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2"/>
            <w:bookmarkEnd w:id="10"/>
            <w:r w:rsidRPr="0054290F">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3"/>
            <w:bookmarkEnd w:id="11"/>
            <w:r w:rsidRPr="0054290F">
              <w:rPr>
                <w:rFonts w:ascii="Times New Roman" w:hAnsi="Times New Roman" w:cs="Times New Roman"/>
              </w:rPr>
              <w:t xml:space="preserve">8) учасник процедури закупівлі визнаний </w:t>
            </w:r>
            <w:r w:rsidR="00A80FAF">
              <w:rPr>
                <w:rFonts w:ascii="Times New Roman" w:hAnsi="Times New Roman" w:cs="Times New Roman"/>
              </w:rPr>
              <w:t>в у</w:t>
            </w:r>
            <w:r w:rsidRPr="0054290F">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4"/>
            <w:bookmarkEnd w:id="12"/>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305"/>
            <w:bookmarkEnd w:id="13"/>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4" w:name="n306"/>
            <w:bookmarkEnd w:id="14"/>
            <w:r w:rsidRPr="0054290F">
              <w:rPr>
                <w:lang w:val="uk-UA"/>
              </w:rPr>
              <w:t xml:space="preserve">11) учасник процедури закупівлі </w:t>
            </w:r>
            <w:r w:rsidR="00147F73">
              <w:rPr>
                <w:lang w:val="uk-UA"/>
              </w:rPr>
              <w:t xml:space="preserve">або кінцевий бенефіціарний власник, член або учасник (акціонер) юридичної особи – учасника процедури закупівлі </w:t>
            </w:r>
            <w:r w:rsidRPr="0054290F">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BB0EDF" w:rsidRDefault="001A5F3C" w:rsidP="00BB0EDF">
            <w:pPr>
              <w:ind w:firstLine="491"/>
              <w:jc w:val="both"/>
              <w:rPr>
                <w:lang w:val="uk-UA"/>
              </w:rPr>
            </w:pPr>
            <w:r w:rsidRPr="0054290F">
              <w:rPr>
                <w:lang w:val="uk-UA"/>
              </w:rPr>
              <w:t xml:space="preserve">12) </w:t>
            </w:r>
            <w:r w:rsidR="00147F73">
              <w:rPr>
                <w:lang w:val="uk-UA"/>
              </w:rPr>
              <w:t>керівника</w:t>
            </w:r>
            <w:r w:rsidRPr="00147F73">
              <w:rPr>
                <w:lang w:val="uk-UA"/>
              </w:rPr>
              <w:t xml:space="preserve"> учасника процедури закупівлі, </w:t>
            </w:r>
            <w:r w:rsidR="00147F73">
              <w:rPr>
                <w:lang w:val="uk-UA"/>
              </w:rPr>
              <w:t>фізичну особу, яка є учасником процедури закупівлі, було притягнуто згідно із законом до відповідальності за вчинення правопорушення, пов</w:t>
            </w:r>
            <w:r w:rsidR="00147F73" w:rsidRPr="00147F73">
              <w:rPr>
                <w:lang w:val="uk-UA"/>
              </w:rPr>
              <w:t>’</w:t>
            </w:r>
            <w:r w:rsidR="00147F73">
              <w:rPr>
                <w:lang w:val="uk-UA"/>
              </w:rPr>
              <w:t>язаного з використанням дитячої праці чи будь-якими формами торгівлі людьми</w:t>
            </w:r>
            <w:r w:rsidR="004016A1">
              <w:rPr>
                <w:lang w:val="uk-UA"/>
              </w:rPr>
              <w:t>.</w:t>
            </w:r>
          </w:p>
          <w:p w:rsidR="00BB0EDF" w:rsidRPr="00BB0EDF" w:rsidRDefault="00BB0EDF" w:rsidP="00BB0EDF">
            <w:pPr>
              <w:ind w:firstLine="491"/>
              <w:jc w:val="both"/>
              <w:rPr>
                <w:szCs w:val="28"/>
              </w:rPr>
            </w:pPr>
            <w:r w:rsidRPr="00BB0EDF">
              <w:rPr>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BB0EDF">
              <w:rPr>
                <w:szCs w:val="28"/>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w:t>
            </w:r>
            <w:r w:rsidR="00BB0EDF">
              <w:rPr>
                <w:lang w:val="uk-UA"/>
              </w:rPr>
              <w:t>п. 44 Особливостей</w:t>
            </w:r>
            <w:r w:rsidRPr="0054290F">
              <w:rPr>
                <w:lang w:val="uk-UA"/>
              </w:rPr>
              <w:t xml:space="preserve"> та інформацію про спосіб підтвердження відповідності учасників установленим вимогам згідно із законодавством. </w:t>
            </w:r>
          </w:p>
          <w:p w:rsidR="001A5F3C" w:rsidRDefault="001A5F3C" w:rsidP="001A5F3C">
            <w:pPr>
              <w:ind w:firstLine="491"/>
              <w:jc w:val="both"/>
              <w:rPr>
                <w:iCs/>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w:t>
            </w:r>
            <w:r w:rsidR="006544C9">
              <w:rPr>
                <w:iCs/>
                <w:lang w:val="uk-UA"/>
              </w:rPr>
              <w:t>підпунктами</w:t>
            </w:r>
            <w:r w:rsidRPr="0054290F">
              <w:rPr>
                <w:iCs/>
                <w:lang w:val="uk-UA"/>
              </w:rPr>
              <w:t xml:space="preserve"> </w:t>
            </w:r>
            <w:r w:rsidR="00BB0EDF">
              <w:rPr>
                <w:iCs/>
                <w:lang w:val="uk-UA"/>
              </w:rPr>
              <w:t xml:space="preserve">3, </w:t>
            </w:r>
            <w:r w:rsidRPr="0054290F">
              <w:rPr>
                <w:iCs/>
                <w:lang w:val="uk-UA"/>
              </w:rPr>
              <w:t xml:space="preserve">5, </w:t>
            </w:r>
            <w:r>
              <w:rPr>
                <w:iCs/>
                <w:lang w:val="uk-UA"/>
              </w:rPr>
              <w:t>6 і 12</w:t>
            </w:r>
            <w:r w:rsidRPr="0054290F">
              <w:rPr>
                <w:iCs/>
                <w:lang w:val="uk-UA"/>
              </w:rPr>
              <w:t xml:space="preserve"> </w:t>
            </w:r>
            <w:r w:rsidR="006544C9">
              <w:rPr>
                <w:iCs/>
                <w:lang w:val="uk-UA"/>
              </w:rPr>
              <w:t>пункту 44 Особливостей</w:t>
            </w:r>
            <w:r w:rsidRPr="0054290F">
              <w:rPr>
                <w:iCs/>
                <w:lang w:val="uk-UA"/>
              </w:rPr>
              <w:t>.</w:t>
            </w:r>
          </w:p>
          <w:p w:rsidR="007C30E7" w:rsidRPr="00AB46FE" w:rsidRDefault="007C30E7" w:rsidP="007C30E7">
            <w:pPr>
              <w:ind w:firstLine="493"/>
              <w:jc w:val="both"/>
              <w:rPr>
                <w:szCs w:val="28"/>
                <w:lang w:val="uk-UA"/>
              </w:rPr>
            </w:pPr>
            <w:r w:rsidRPr="00AB46FE">
              <w:rPr>
                <w:szCs w:val="28"/>
                <w:lang w:val="uk-UA"/>
              </w:rPr>
              <w:t>Учасник процедури закупівлі підтверджує ві</w:t>
            </w:r>
            <w:r>
              <w:rPr>
                <w:szCs w:val="28"/>
                <w:lang w:val="uk-UA"/>
              </w:rPr>
              <w:t xml:space="preserve">дсутність підстав, зазначених у п. 44 Особливостей </w:t>
            </w:r>
            <w:r w:rsidRPr="00AB46FE">
              <w:rPr>
                <w:szCs w:val="28"/>
                <w:lang w:val="uk-UA"/>
              </w:rPr>
              <w:t>(крім аб</w:t>
            </w:r>
            <w:r>
              <w:rPr>
                <w:szCs w:val="28"/>
                <w:lang w:val="uk-UA"/>
              </w:rPr>
              <w:t>. 14</w:t>
            </w:r>
            <w:r w:rsidRPr="00AB46FE">
              <w:rPr>
                <w:szCs w:val="28"/>
                <w:lang w:val="uk-UA"/>
              </w:rPr>
              <w:t xml:space="preserve"> </w:t>
            </w:r>
            <w:r>
              <w:rPr>
                <w:szCs w:val="28"/>
                <w:lang w:val="uk-UA"/>
              </w:rPr>
              <w:t>п. 44 Особливостей</w:t>
            </w:r>
            <w:r w:rsidRPr="00AB46FE">
              <w:rPr>
                <w:szCs w:val="28"/>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w:t>
            </w:r>
            <w:r w:rsidR="00BB0EDF">
              <w:rPr>
                <w:lang w:val="uk-UA"/>
              </w:rPr>
              <w:t xml:space="preserve">півлю, повинен надати замовнику </w:t>
            </w:r>
            <w:r w:rsidRPr="0054290F">
              <w:rPr>
                <w:lang w:val="uk-UA"/>
              </w:rPr>
              <w:t>шляхом оприлюднення їх в електронній системі закупівель</w:t>
            </w:r>
            <w:r w:rsidR="00BB0EDF">
              <w:rPr>
                <w:lang w:val="uk-UA"/>
              </w:rPr>
              <w:t xml:space="preserve"> документи</w:t>
            </w:r>
            <w:r w:rsidRPr="0054290F">
              <w:rPr>
                <w:lang w:val="uk-UA"/>
              </w:rPr>
              <w:t xml:space="preserve">, що підтверджують відсутність підстав, </w:t>
            </w:r>
            <w:r w:rsidR="00BB0EDF">
              <w:rPr>
                <w:lang w:val="uk-UA"/>
              </w:rPr>
              <w:t>зазначених у підпунктах</w:t>
            </w:r>
            <w:r w:rsidR="00014B90">
              <w:rPr>
                <w:lang w:val="uk-UA"/>
              </w:rPr>
              <w:t xml:space="preserve"> 3, 5, 6</w:t>
            </w:r>
            <w:r>
              <w:rPr>
                <w:lang w:val="uk-UA"/>
              </w:rPr>
              <w:t xml:space="preserve"> і 12</w:t>
            </w:r>
            <w:r w:rsidRPr="0054290F">
              <w:rPr>
                <w:lang w:val="uk-UA"/>
              </w:rPr>
              <w:t xml:space="preserve"> </w:t>
            </w:r>
            <w:r w:rsidR="00BB0EDF">
              <w:rPr>
                <w:lang w:val="uk-UA"/>
              </w:rPr>
              <w:t>та в абзаці чотирнадцятому п. 44 Особливостей</w:t>
            </w:r>
            <w:r w:rsidRPr="0054290F">
              <w:rPr>
                <w:lang w:val="uk-UA"/>
              </w:rPr>
              <w:t>.</w:t>
            </w:r>
          </w:p>
          <w:p w:rsidR="00AB46FE" w:rsidRDefault="00F221DC" w:rsidP="00AB46FE">
            <w:pPr>
              <w:ind w:firstLine="493"/>
              <w:jc w:val="both"/>
              <w:rPr>
                <w:lang w:val="uk-UA"/>
              </w:rPr>
            </w:pPr>
            <w:r>
              <w:rPr>
                <w:lang w:val="uk-UA"/>
              </w:rPr>
              <w:t>На момент оприлюднення оголошення про проведення відкритих т</w:t>
            </w:r>
            <w:r w:rsidR="00AB46FE">
              <w:rPr>
                <w:lang w:val="uk-UA"/>
              </w:rPr>
              <w:t xml:space="preserve">оргів, доступ до інформації,  </w:t>
            </w:r>
            <w:r w:rsidR="00AB46FE" w:rsidRPr="00AB46FE">
              <w:rPr>
                <w:lang w:val="uk-UA"/>
              </w:rPr>
              <w:t xml:space="preserve">що оприлюднена у формі відкритих даних згідно із Законом України “Про доступ до публічної інформації” та/або міститься у відкритих </w:t>
            </w:r>
            <w:r w:rsidR="00AB46FE" w:rsidRPr="00AB46FE">
              <w:rPr>
                <w:lang w:val="uk-UA" w:eastAsia="en-US"/>
              </w:rPr>
              <w:t>публічних електронних реєстрах</w:t>
            </w:r>
            <w:r w:rsidR="00AB46FE" w:rsidRPr="00AB46FE">
              <w:rPr>
                <w:lang w:val="uk-UA"/>
              </w:rPr>
              <w:t>,</w:t>
            </w:r>
            <w:r w:rsidR="007C30E7">
              <w:rPr>
                <w:lang w:val="uk-UA"/>
              </w:rPr>
              <w:t xml:space="preserve"> є обмеженим</w:t>
            </w:r>
            <w:r w:rsidRPr="00AB46FE">
              <w:rPr>
                <w:lang w:val="uk-UA"/>
              </w:rPr>
              <w:t>.</w:t>
            </w:r>
            <w:r w:rsidR="00AB46FE">
              <w:rPr>
                <w:lang w:val="uk-UA"/>
              </w:rPr>
              <w:t xml:space="preserve"> </w:t>
            </w:r>
            <w:r>
              <w:rPr>
                <w:lang w:val="uk-UA"/>
              </w:rPr>
              <w:t>У зв</w:t>
            </w:r>
            <w:r w:rsidRPr="00C23618">
              <w:rPr>
                <w:lang w:val="uk-UA"/>
              </w:rPr>
              <w:t>’</w:t>
            </w:r>
            <w:r>
              <w:rPr>
                <w:lang w:val="uk-UA"/>
              </w:rPr>
              <w:t xml:space="preserve">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w:t>
            </w:r>
            <w:r w:rsidR="007C30E7">
              <w:rPr>
                <w:lang w:val="uk-UA"/>
              </w:rPr>
              <w:t>п. 44 Особливостей</w:t>
            </w:r>
            <w:r>
              <w:rPr>
                <w:lang w:val="uk-UA"/>
              </w:rPr>
              <w:t>, шляхом оприлюднення її в електроній системі закпівель.</w:t>
            </w:r>
          </w:p>
          <w:p w:rsidR="00ED68D8" w:rsidRPr="003816A3" w:rsidRDefault="001A5F3C" w:rsidP="003816A3">
            <w:pPr>
              <w:ind w:firstLine="493"/>
              <w:contextualSpacing/>
              <w:jc w:val="both"/>
              <w:rPr>
                <w:shd w:val="clear" w:color="auto" w:fill="FFFFFF"/>
                <w:lang w:val="uk-UA"/>
              </w:rPr>
            </w:pPr>
            <w:r w:rsidRPr="0054290F">
              <w:rPr>
                <w:b/>
                <w:lang w:val="uk-UA"/>
              </w:rPr>
              <w:t xml:space="preserve">Крім того, учасник торгів, якого визначено </w:t>
            </w:r>
            <w:r w:rsidRPr="0054290F">
              <w:rPr>
                <w:b/>
                <w:lang w:val="uk-UA"/>
              </w:rPr>
              <w:lastRenderedPageBreak/>
              <w:t xml:space="preserve">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D200F4">
            <w:pPr>
              <w:widowControl w:val="0"/>
              <w:spacing w:beforeLines="20" w:before="48"/>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w:t>
            </w:r>
            <w:r w:rsidR="00EA623B">
              <w:rPr>
                <w:b/>
                <w:lang w:val="uk-UA" w:eastAsia="uk-UA"/>
              </w:rPr>
              <w:t>6</w:t>
            </w:r>
            <w:r w:rsidR="00CE4F69">
              <w:rPr>
                <w:b/>
                <w:lang w:val="uk-UA" w:eastAsia="uk-UA"/>
              </w:rPr>
              <w:t xml:space="preserve"> </w:t>
            </w:r>
            <w:r w:rsidR="00CE4F69" w:rsidRPr="00CE4F69">
              <w:rPr>
                <w:lang w:val="uk-UA" w:eastAsia="uk-UA"/>
              </w:rPr>
              <w:t>«Технічні вимоги».</w:t>
            </w:r>
          </w:p>
          <w:p w:rsidR="00ED68D8" w:rsidRPr="002659DF" w:rsidRDefault="00695EE5" w:rsidP="00D200F4">
            <w:pPr>
              <w:widowControl w:val="0"/>
              <w:spacing w:beforeLines="20" w:before="48"/>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9A57F4"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EA623B" w:rsidP="002659DF">
            <w:pPr>
              <w:ind w:firstLine="601"/>
              <w:jc w:val="both"/>
              <w:rPr>
                <w:lang w:val="uk-UA"/>
              </w:rPr>
            </w:pPr>
            <w:r>
              <w:rPr>
                <w:lang w:val="uk-UA" w:eastAsia="uk-UA"/>
              </w:rPr>
              <w:t>Не вимагається.</w:t>
            </w:r>
          </w:p>
        </w:tc>
      </w:tr>
      <w:tr w:rsidR="00ED68D8"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w:t>
            </w:r>
            <w:r w:rsidR="00AE2239">
              <w:rPr>
                <w:lang w:val="uk-UA"/>
              </w:rPr>
              <w:t xml:space="preserve">кінцевого </w:t>
            </w:r>
            <w:r w:rsidRPr="0054290F">
              <w:rPr>
                <w:lang w:val="uk-UA"/>
              </w:rPr>
              <w:t>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3C71E0" w:rsidRPr="00C92BA9" w:rsidRDefault="00262991" w:rsidP="00021DC0">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D349ED">
              <w:rPr>
                <w:rFonts w:ascii="Times New Roman" w:eastAsia="Times New Roman" w:hAnsi="Times New Roman" w:cs="Times New Roman"/>
                <w:b/>
                <w:color w:val="FF0000"/>
                <w:sz w:val="24"/>
                <w:szCs w:val="24"/>
                <w:lang w:val="uk-UA"/>
              </w:rPr>
              <w:t>28</w:t>
            </w:r>
            <w:r w:rsidR="004B6CAC" w:rsidRPr="00C00722">
              <w:rPr>
                <w:rFonts w:ascii="Times New Roman" w:eastAsia="Times New Roman" w:hAnsi="Times New Roman" w:cs="Times New Roman"/>
                <w:b/>
                <w:color w:val="FF0000"/>
                <w:sz w:val="24"/>
                <w:szCs w:val="24"/>
                <w:lang w:val="uk-UA"/>
              </w:rPr>
              <w:t>.0</w:t>
            </w:r>
            <w:r w:rsidR="00A074CE" w:rsidRPr="00C00722">
              <w:rPr>
                <w:rFonts w:ascii="Times New Roman" w:eastAsia="Times New Roman" w:hAnsi="Times New Roman" w:cs="Times New Roman"/>
                <w:b/>
                <w:color w:val="FF0000"/>
                <w:sz w:val="24"/>
                <w:szCs w:val="24"/>
                <w:lang w:val="uk-UA"/>
              </w:rPr>
              <w:t>3</w:t>
            </w:r>
            <w:r w:rsidR="008C0F35" w:rsidRPr="00C00722">
              <w:rPr>
                <w:rFonts w:ascii="Times New Roman" w:eastAsia="Times New Roman" w:hAnsi="Times New Roman" w:cs="Times New Roman"/>
                <w:b/>
                <w:color w:val="FF0000"/>
                <w:sz w:val="24"/>
                <w:szCs w:val="24"/>
                <w:lang w:val="uk-UA"/>
              </w:rPr>
              <w:t>.</w:t>
            </w:r>
            <w:r w:rsidR="00032A08" w:rsidRPr="00C00722">
              <w:rPr>
                <w:rFonts w:ascii="Times New Roman" w:eastAsia="Times New Roman" w:hAnsi="Times New Roman" w:cs="Times New Roman"/>
                <w:b/>
                <w:color w:val="FF0000"/>
                <w:sz w:val="24"/>
                <w:szCs w:val="24"/>
                <w:lang w:val="uk-UA"/>
              </w:rPr>
              <w:t>202</w:t>
            </w:r>
            <w:r w:rsidR="004B6CAC" w:rsidRPr="00C00722">
              <w:rPr>
                <w:rFonts w:ascii="Times New Roman" w:eastAsia="Times New Roman" w:hAnsi="Times New Roman" w:cs="Times New Roman"/>
                <w:b/>
                <w:color w:val="FF0000"/>
                <w:sz w:val="24"/>
                <w:szCs w:val="24"/>
                <w:lang w:val="uk-UA"/>
              </w:rPr>
              <w:t>3</w:t>
            </w:r>
            <w:r w:rsidR="00021DC0" w:rsidRPr="00C00722">
              <w:rPr>
                <w:rFonts w:ascii="Times New Roman" w:eastAsia="Times New Roman" w:hAnsi="Times New Roman" w:cs="Times New Roman"/>
                <w:b/>
                <w:color w:val="FF0000"/>
                <w:sz w:val="24"/>
                <w:szCs w:val="24"/>
                <w:lang w:val="uk-UA"/>
              </w:rPr>
              <w:t xml:space="preserve"> до 1</w:t>
            </w:r>
            <w:r w:rsidR="00D349ED">
              <w:rPr>
                <w:rFonts w:ascii="Times New Roman" w:eastAsia="Times New Roman" w:hAnsi="Times New Roman" w:cs="Times New Roman"/>
                <w:b/>
                <w:color w:val="FF0000"/>
                <w:sz w:val="24"/>
                <w:szCs w:val="24"/>
                <w:lang w:val="uk-UA"/>
              </w:rPr>
              <w:t>6</w:t>
            </w:r>
            <w:r w:rsidR="00032A08" w:rsidRPr="00C00722">
              <w:rPr>
                <w:rFonts w:ascii="Times New Roman" w:eastAsia="Times New Roman" w:hAnsi="Times New Roman" w:cs="Times New Roman"/>
                <w:b/>
                <w:color w:val="FF0000"/>
                <w:sz w:val="24"/>
                <w:szCs w:val="24"/>
                <w:lang w:val="uk-UA"/>
              </w:rPr>
              <w:t>:00 години.</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F25B47"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Порядок</w:t>
            </w:r>
            <w:r w:rsidR="00ED68D8" w:rsidRPr="00E57B4E">
              <w:rPr>
                <w:b/>
                <w:lang w:val="uk-UA" w:eastAsia="en-US"/>
              </w:rPr>
              <w:t xml:space="preserve">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9809FF" w:rsidRDefault="009809FF" w:rsidP="009809FF">
            <w:pPr>
              <w:spacing w:before="120"/>
              <w:ind w:firstLine="567"/>
              <w:contextualSpacing/>
              <w:jc w:val="both"/>
            </w:pPr>
            <w:r w:rsidRPr="009809FF">
              <w:t>Відкриті торги проводяться без застосування електронного аукціону.</w:t>
            </w:r>
          </w:p>
          <w:p w:rsidR="00C50737" w:rsidRDefault="009809FF" w:rsidP="009809FF">
            <w:pPr>
              <w:spacing w:before="120"/>
              <w:ind w:firstLine="567"/>
              <w:contextualSpacing/>
              <w:jc w:val="both"/>
            </w:pPr>
            <w:r w:rsidRPr="009809F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484B" w:rsidRDefault="0058484B" w:rsidP="00AB46FE">
            <w:pPr>
              <w:spacing w:before="120"/>
              <w:ind w:firstLine="567"/>
              <w:contextualSpacing/>
              <w:jc w:val="both"/>
              <w:rPr>
                <w:sz w:val="28"/>
                <w:szCs w:val="28"/>
                <w:lang w:val="uk-UA"/>
              </w:rPr>
            </w:pPr>
            <w:r w:rsidRPr="009809FF">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B46FE">
              <w:rPr>
                <w:lang w:val="uk-UA"/>
              </w:rPr>
              <w:t>визначених п 44 Особливостей</w:t>
            </w:r>
            <w:r w:rsidRPr="009809FF">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8"/>
                <w:szCs w:val="28"/>
              </w:rPr>
              <w:t>.</w:t>
            </w:r>
          </w:p>
          <w:p w:rsidR="007C0722" w:rsidRPr="007C0722" w:rsidRDefault="007C0722" w:rsidP="00AB46FE">
            <w:pPr>
              <w:spacing w:before="120"/>
              <w:ind w:firstLine="567"/>
              <w:contextualSpacing/>
              <w:jc w:val="both"/>
              <w:rPr>
                <w:lang w:val="uk-UA"/>
              </w:rPr>
            </w:pPr>
            <w:r w:rsidRPr="007C0722">
              <w:rPr>
                <w:lang w:val="uk-UA"/>
              </w:rPr>
              <w:t>Розкриття тендерних пропозицій відбувається відповідно до п. 36 Особливостей.</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lastRenderedPageBreak/>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w:t>
            </w:r>
            <w:r w:rsidR="00E61CD4">
              <w:rPr>
                <w:lang w:val="uk-UA"/>
              </w:rPr>
              <w:t>п. 37-40</w:t>
            </w:r>
            <w:r w:rsidR="007864CB">
              <w:rPr>
                <w:lang w:val="uk-UA"/>
              </w:rPr>
              <w:t xml:space="preserve"> </w:t>
            </w:r>
            <w:r w:rsidR="00864F8D">
              <w:rPr>
                <w:lang w:val="uk-UA"/>
              </w:rPr>
              <w:t>О</w:t>
            </w:r>
            <w:r w:rsidRPr="007E558B">
              <w:rPr>
                <w:lang w:val="uk-UA"/>
              </w:rPr>
              <w:t>собливостей.</w:t>
            </w:r>
          </w:p>
          <w:p w:rsidR="00CD0D12" w:rsidRDefault="004B6CAC" w:rsidP="00CD0D12">
            <w:pPr>
              <w:widowControl w:val="0"/>
              <w:jc w:val="both"/>
              <w:rPr>
                <w:color w:val="000000"/>
              </w:rPr>
            </w:pPr>
            <w:r>
              <w:rPr>
                <w:lang w:val="uk-UA"/>
              </w:rPr>
              <w:t xml:space="preserve">         </w:t>
            </w:r>
            <w:r w:rsidR="00CD0D12">
              <w:rPr>
                <w:color w:val="000000"/>
              </w:rPr>
              <w:t xml:space="preserve">Критерії та методика оцінки визначаються відповідно до </w:t>
            </w:r>
            <w:r w:rsidR="00E61CD4">
              <w:rPr>
                <w:color w:val="000000"/>
                <w:lang w:val="uk-UA"/>
              </w:rPr>
              <w:t>п. 37</w:t>
            </w:r>
            <w:r w:rsidR="00A81168">
              <w:rPr>
                <w:color w:val="000000"/>
                <w:lang w:val="uk-UA"/>
              </w:rPr>
              <w:t xml:space="preserve"> </w:t>
            </w:r>
            <w:r w:rsidR="00E61CD4">
              <w:rPr>
                <w:color w:val="000000"/>
                <w:lang w:val="uk-UA"/>
              </w:rPr>
              <w:t>Особливостей</w:t>
            </w:r>
            <w:r w:rsidR="00CD0D12">
              <w:rPr>
                <w:color w:val="000000"/>
              </w:rPr>
              <w:t>.</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58484B" w:rsidRPr="0058484B" w:rsidRDefault="0058484B" w:rsidP="0058484B">
            <w:pPr>
              <w:widowControl w:val="0"/>
              <w:ind w:firstLine="399"/>
              <w:contextualSpacing/>
              <w:jc w:val="both"/>
              <w:rPr>
                <w:lang w:val="uk-UA"/>
              </w:rPr>
            </w:pPr>
            <w:r w:rsidRPr="0058484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Pr="00B47D86" w:rsidRDefault="00E61CD4" w:rsidP="00CD0D12">
            <w:pPr>
              <w:widowControl w:val="0"/>
              <w:jc w:val="both"/>
              <w:rPr>
                <w:b/>
              </w:rPr>
            </w:pPr>
            <w:r>
              <w:rPr>
                <w:lang w:val="uk-UA"/>
              </w:rPr>
              <w:t xml:space="preserve">     </w:t>
            </w:r>
            <w:r w:rsidR="00CD0D12">
              <w:rPr>
                <w:i/>
                <w:lang w:val="uk-UA"/>
              </w:rPr>
              <w:t xml:space="preserve">         </w:t>
            </w:r>
            <w:r w:rsidR="00CD0D12" w:rsidRPr="00B47D86">
              <w:rPr>
                <w:b/>
                <w:i/>
              </w:rPr>
              <w:t xml:space="preserve">Ціна тендерної пропозиції </w:t>
            </w:r>
            <w:r w:rsidR="00CD0D12" w:rsidRPr="00B47D86">
              <w:rPr>
                <w:b/>
                <w:i/>
                <w:color w:val="FF0000"/>
              </w:rPr>
              <w:t>не може</w:t>
            </w:r>
            <w:r w:rsidR="00CD0D12"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00CD0D12"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58484B" w:rsidRDefault="0058484B" w:rsidP="0058484B">
            <w:pPr>
              <w:spacing w:before="120"/>
              <w:ind w:firstLine="567"/>
              <w:contextualSpacing/>
              <w:jc w:val="both"/>
            </w:pPr>
            <w:r>
              <w:t xml:space="preserve">Найбільш </w:t>
            </w:r>
            <w:r w:rsidRPr="0058484B">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5E43" w:rsidRPr="006E5E43" w:rsidRDefault="006E5E43" w:rsidP="006E5E43">
            <w:pPr>
              <w:ind w:firstLine="567"/>
              <w:contextualSpacing/>
              <w:jc w:val="both"/>
            </w:pPr>
            <w:r w:rsidRPr="006E5E43">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5E43" w:rsidRPr="006E5E43" w:rsidRDefault="006E5E43" w:rsidP="006E5E43">
            <w:pPr>
              <w:ind w:firstLine="567"/>
              <w:contextualSpacing/>
              <w:jc w:val="both"/>
            </w:pPr>
            <w:r w:rsidRPr="006E5E4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6E5E43">
              <w:lastRenderedPageBreak/>
              <w:t>відповідного рішення.</w:t>
            </w:r>
          </w:p>
          <w:p w:rsidR="006E5E43" w:rsidRPr="006E5E43" w:rsidRDefault="006E5E43" w:rsidP="006E5E43">
            <w:pPr>
              <w:ind w:firstLine="567"/>
              <w:contextualSpacing/>
              <w:jc w:val="both"/>
            </w:pPr>
            <w:r w:rsidRPr="006E5E43">
              <w:t>У разі відхилення замовником найбільш економічно вигідної тендерної пропозиції</w:t>
            </w:r>
            <w:r w:rsidR="0045782D">
              <w:rPr>
                <w:lang w:val="uk-UA"/>
              </w:rPr>
              <w:t xml:space="preserve"> відповідно до Особливостей</w:t>
            </w:r>
            <w:r w:rsidRPr="006E5E43">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6E5E43" w:rsidRPr="0058484B" w:rsidRDefault="006E5E43" w:rsidP="006E5E43">
            <w:pPr>
              <w:ind w:firstLine="567"/>
              <w:contextualSpacing/>
              <w:jc w:val="both"/>
            </w:pPr>
            <w:r w:rsidRPr="006E5E4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54290F" w:rsidRDefault="006E5E43" w:rsidP="006E5E43">
            <w:pPr>
              <w:widowControl w:val="0"/>
              <w:jc w:val="both"/>
            </w:pPr>
            <w:r>
              <w:rPr>
                <w:lang w:val="uk-UA"/>
              </w:rPr>
              <w:t xml:space="preserve">          </w:t>
            </w:r>
            <w:r w:rsidR="00CD0D12" w:rsidRPr="0054290F">
              <w:rPr>
                <w:b/>
                <w:i/>
                <w:lang w:val="uk-UA"/>
              </w:rPr>
              <w:t>Аномально низька ціна тендерної пропозиції</w:t>
            </w:r>
            <w:r w:rsidR="00CD0D12" w:rsidRPr="0054290F">
              <w:rPr>
                <w:lang w:val="uk-UA"/>
              </w:rPr>
              <w:t xml:space="preserve"> (далі - аномально низька ціна) - ціна/приведена ціна найбільш економічно вигідної </w:t>
            </w:r>
            <w:r w:rsidR="002E2864">
              <w:rPr>
                <w:lang w:val="uk-UA"/>
              </w:rPr>
              <w:t xml:space="preserve">тендерної </w:t>
            </w:r>
            <w:r w:rsidR="00CD0D12" w:rsidRPr="0054290F">
              <w:rPr>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2E2864">
              <w:rPr>
                <w:lang w:val="uk-UA"/>
              </w:rPr>
              <w:t>процедури закупівлі</w:t>
            </w:r>
            <w:r w:rsidR="00CD0D12" w:rsidRPr="0054290F">
              <w:rPr>
                <w:lang w:val="uk-UA"/>
              </w:rPr>
              <w:t>, та/або є меншою на 30 або більше відсотків наступної ціни/приве</w:t>
            </w:r>
            <w:r w:rsidR="0067670D">
              <w:rPr>
                <w:lang w:val="uk-UA"/>
              </w:rPr>
              <w:t xml:space="preserve">деної ціни тендерної пропозиції. </w:t>
            </w:r>
            <w:r w:rsidR="00CD0D12" w:rsidRPr="0054290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Учасник</w:t>
            </w:r>
            <w:r w:rsidR="00E61CD4">
              <w:rPr>
                <w:rFonts w:ascii="Times New Roman" w:hAnsi="Times New Roman" w:cs="Times New Roman"/>
                <w:color w:val="auto"/>
                <w:sz w:val="24"/>
                <w:szCs w:val="24"/>
                <w:lang w:val="uk-UA"/>
              </w:rPr>
              <w:t xml:space="preserve"> процедури закупівлі</w:t>
            </w:r>
            <w:r w:rsidRPr="0054290F">
              <w:rPr>
                <w:rFonts w:ascii="Times New Roman" w:hAnsi="Times New Roman" w:cs="Times New Roman"/>
                <w:color w:val="auto"/>
                <w:sz w:val="24"/>
                <w:szCs w:val="24"/>
              </w:rPr>
              <w:t xml:space="preserve">,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E61CD4" w:rsidRDefault="00CD0D12" w:rsidP="00CD0D12">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Замовник може відхилити аномально низ</w:t>
            </w:r>
            <w:r w:rsidR="00E61CD4">
              <w:rPr>
                <w:rFonts w:ascii="Times New Roman" w:hAnsi="Times New Roman" w:cs="Times New Roman"/>
                <w:color w:val="auto"/>
                <w:sz w:val="24"/>
                <w:szCs w:val="24"/>
              </w:rPr>
              <w:t xml:space="preserve">ьку тендерну пропозицію, </w:t>
            </w:r>
            <w:r w:rsidRPr="0054290F">
              <w:rPr>
                <w:rFonts w:ascii="Times New Roman" w:hAnsi="Times New Roman" w:cs="Times New Roman"/>
                <w:color w:val="auto"/>
                <w:sz w:val="24"/>
                <w:szCs w:val="24"/>
              </w:rPr>
              <w:t xml:space="preserve">якщо учасник не надав належного обґрунтування </w:t>
            </w:r>
            <w:r w:rsidR="00E61CD4">
              <w:rPr>
                <w:rFonts w:ascii="Times New Roman" w:hAnsi="Times New Roman" w:cs="Times New Roman"/>
                <w:color w:val="auto"/>
                <w:sz w:val="24"/>
                <w:szCs w:val="24"/>
                <w:lang w:val="uk-UA"/>
              </w:rPr>
              <w:t>зазначеної</w:t>
            </w:r>
            <w:r w:rsidRPr="0054290F">
              <w:rPr>
                <w:rFonts w:ascii="Times New Roman" w:hAnsi="Times New Roman" w:cs="Times New Roman"/>
                <w:color w:val="auto"/>
                <w:sz w:val="24"/>
                <w:szCs w:val="24"/>
              </w:rPr>
              <w:t xml:space="preserve"> </w:t>
            </w:r>
            <w:r w:rsidR="00E61CD4">
              <w:rPr>
                <w:rFonts w:ascii="Times New Roman" w:hAnsi="Times New Roman" w:cs="Times New Roman"/>
                <w:color w:val="auto"/>
                <w:sz w:val="24"/>
                <w:szCs w:val="24"/>
                <w:lang w:val="uk-UA"/>
              </w:rPr>
              <w:t>у</w:t>
            </w:r>
            <w:r w:rsidRPr="0054290F">
              <w:rPr>
                <w:rFonts w:ascii="Times New Roman" w:hAnsi="Times New Roman" w:cs="Times New Roman"/>
                <w:color w:val="auto"/>
                <w:sz w:val="24"/>
                <w:szCs w:val="24"/>
              </w:rPr>
              <w:t xml:space="preserve"> ній ціни або вартості, та відхиляє аномально низьку тендерну пропозицію </w:t>
            </w:r>
            <w:r w:rsidR="00E61CD4">
              <w:rPr>
                <w:rFonts w:ascii="Times New Roman" w:hAnsi="Times New Roman" w:cs="Times New Roman"/>
                <w:color w:val="auto"/>
                <w:sz w:val="24"/>
                <w:szCs w:val="24"/>
                <w:lang w:val="uk-UA"/>
              </w:rPr>
              <w:t>в</w:t>
            </w:r>
            <w:r w:rsidRPr="0054290F">
              <w:rPr>
                <w:rFonts w:ascii="Times New Roman" w:hAnsi="Times New Roman" w:cs="Times New Roman"/>
                <w:color w:val="auto"/>
                <w:sz w:val="24"/>
                <w:szCs w:val="24"/>
              </w:rPr>
              <w:t xml:space="preserve"> разі ненадходження такого обґрунтування протягом строку, визначеного абзацом </w:t>
            </w:r>
            <w:r w:rsidR="00E61CD4">
              <w:rPr>
                <w:rFonts w:ascii="Times New Roman" w:hAnsi="Times New Roman" w:cs="Times New Roman"/>
                <w:color w:val="auto"/>
                <w:sz w:val="24"/>
                <w:szCs w:val="24"/>
                <w:lang w:val="uk-UA"/>
              </w:rPr>
              <w:t>5 п. 38 Особливостей.</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E61CD4">
              <w:rPr>
                <w:color w:val="000000"/>
                <w:lang w:val="uk-UA"/>
              </w:rPr>
              <w:t xml:space="preserve">відповідн до </w:t>
            </w:r>
            <w:r>
              <w:rPr>
                <w:color w:val="000000"/>
              </w:rPr>
              <w:t>Закон</w:t>
            </w:r>
            <w:r w:rsidR="00E61CD4">
              <w:rPr>
                <w:color w:val="000000"/>
                <w:lang w:val="uk-UA"/>
              </w:rPr>
              <w:t>у</w:t>
            </w:r>
            <w:r>
              <w:rPr>
                <w:color w:val="000000"/>
              </w:rPr>
              <w:t xml:space="preserve"> з урахування</w:t>
            </w:r>
            <w:r>
              <w:t>м Особливостей</w:t>
            </w:r>
            <w:r>
              <w:rPr>
                <w:color w:val="000000"/>
              </w:rPr>
              <w:t>.</w:t>
            </w:r>
          </w:p>
          <w:p w:rsidR="00CD0D12" w:rsidRDefault="00CD0D12" w:rsidP="00CD0D12">
            <w:pPr>
              <w:widowControl w:val="0"/>
              <w:jc w:val="both"/>
            </w:pPr>
            <w:r>
              <w:rPr>
                <w:lang w:val="uk-UA"/>
              </w:rPr>
              <w:t xml:space="preserve">       </w:t>
            </w:r>
            <w: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lastRenderedPageBreak/>
              <w:t>компетенції.</w:t>
            </w:r>
          </w:p>
          <w:p w:rsidR="008323B0" w:rsidRPr="009A57F4" w:rsidRDefault="008323B0" w:rsidP="00CD0D12">
            <w:pPr>
              <w:widowControl w:val="0"/>
              <w:jc w:val="both"/>
              <w:rPr>
                <w:lang w:val="uk-UA"/>
              </w:rPr>
            </w:pPr>
            <w:r>
              <w:rPr>
                <w:sz w:val="28"/>
                <w:szCs w:val="28"/>
                <w:lang w:val="uk-UA"/>
              </w:rPr>
              <w:t xml:space="preserve">       </w:t>
            </w:r>
            <w:r w:rsidRPr="009A57F4">
              <w:rPr>
                <w:szCs w:val="28"/>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8323B0">
              <w:rPr>
                <w:szCs w:val="28"/>
                <w:lang w:val="uk-UA"/>
              </w:rPr>
              <w:t>О</w:t>
            </w:r>
            <w:r w:rsidRPr="009A57F4">
              <w:rPr>
                <w:szCs w:val="28"/>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8323B0" w:rsidRDefault="008323B0" w:rsidP="008323B0">
            <w:pPr>
              <w:widowControl w:val="0"/>
              <w:jc w:val="both"/>
              <w:rPr>
                <w:lang w:val="uk-UA"/>
              </w:rPr>
            </w:pPr>
            <w:r>
              <w:rPr>
                <w:lang w:val="uk-UA"/>
              </w:rPr>
              <w:t xml:space="preserve">        </w:t>
            </w:r>
            <w:r w:rsidR="00CD0D12" w:rsidRPr="00CD0D12">
              <w:rPr>
                <w:lang w:val="uk-UA"/>
              </w:rPr>
              <w:t>У разі відхилення тендерної пропозиції з підстави, визнач</w:t>
            </w:r>
            <w:r>
              <w:rPr>
                <w:lang w:val="uk-UA"/>
              </w:rPr>
              <w:t xml:space="preserve">еної підпунктом 3 пункту 41 </w:t>
            </w:r>
            <w:r w:rsidR="00CD0D12" w:rsidRPr="00CD0D12">
              <w:rPr>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CD0D12" w:rsidRPr="00CD0D12">
              <w:t xml:space="preserve">33 Закону та </w:t>
            </w:r>
            <w:r>
              <w:rPr>
                <w:lang w:val="uk-UA"/>
              </w:rPr>
              <w:t>п. 46 Особливостей</w:t>
            </w:r>
            <w:r w:rsidR="00CD0D12" w:rsidRPr="00CD0D12">
              <w:t>.</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3403B">
              <w:rPr>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t>3.</w:t>
            </w:r>
            <w:r w:rsidRPr="007340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062F7A">
            <w:pPr>
              <w:suppressAutoHyphens/>
              <w:autoSpaceDN w:val="0"/>
              <w:ind w:firstLine="491"/>
              <w:contextualSpacing/>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D0192E">
              <w:rPr>
                <w:kern w:val="3"/>
                <w:lang w:val="uk-UA" w:eastAsia="ar-SA"/>
              </w:rPr>
              <w:t>послуги</w:t>
            </w:r>
            <w:r w:rsidRPr="00E57B4E">
              <w:rPr>
                <w:kern w:val="3"/>
                <w:lang w:val="uk-UA" w:eastAsia="ar-SA"/>
              </w:rPr>
              <w:t>, запропонован</w:t>
            </w:r>
            <w:r w:rsidR="00D0192E">
              <w:rPr>
                <w:kern w:val="3"/>
                <w:lang w:val="uk-UA" w:eastAsia="ar-SA"/>
              </w:rPr>
              <w:t>і</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062F7A">
            <w:pPr>
              <w:suppressAutoHyphens/>
              <w:autoSpaceDN w:val="0"/>
              <w:ind w:firstLine="491"/>
              <w:contextualSpacing/>
              <w:jc w:val="both"/>
              <w:textAlignment w:val="baseline"/>
              <w:rPr>
                <w:kern w:val="3"/>
                <w:lang w:val="uk-UA" w:eastAsia="zh-CN"/>
              </w:rPr>
            </w:pPr>
            <w:r w:rsidRPr="00E57B4E">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062F7A">
            <w:pPr>
              <w:autoSpaceDE w:val="0"/>
              <w:autoSpaceDN w:val="0"/>
              <w:ind w:firstLine="601"/>
              <w:contextualSpacing/>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w:t>
            </w:r>
            <w:r w:rsidR="008323B0">
              <w:rPr>
                <w:highlight w:val="white"/>
                <w:lang w:val="uk-UA"/>
              </w:rPr>
              <w:t xml:space="preserve">відсутності </w:t>
            </w:r>
            <w:r w:rsidRPr="00F919DE">
              <w:rPr>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E1717D">
              <w:rPr>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w:t>
            </w:r>
            <w:r w:rsidR="008323B0">
              <w:rPr>
                <w:highlight w:val="white"/>
              </w:rPr>
              <w:t>ом другим п.39 Особливостей</w:t>
            </w:r>
            <w:r>
              <w:rPr>
                <w:highlight w:val="white"/>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w:t>
            </w:r>
            <w:r w:rsidR="00E037D5">
              <w:rPr>
                <w:highlight w:val="white"/>
                <w:lang w:val="uk-UA"/>
              </w:rPr>
              <w:t>;</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Pr="00283E63" w:rsidRDefault="00F031BA" w:rsidP="00F031BA">
            <w:pPr>
              <w:widowControl w:val="0"/>
              <w:jc w:val="both"/>
              <w:rPr>
                <w:highlight w:val="white"/>
                <w:lang w:val="uk-UA"/>
              </w:rPr>
            </w:pPr>
            <w:r>
              <w:rPr>
                <w:highlight w:val="white"/>
                <w:lang w:val="uk-UA"/>
              </w:rPr>
              <w:t xml:space="preserve">     </w:t>
            </w:r>
            <w:r>
              <w:rPr>
                <w:highlight w:val="white"/>
              </w:rPr>
              <w:t xml:space="preserve">— не надав обґрунтування аномально низької ціни тендерної пропозиції протягом строку, визначеного </w:t>
            </w:r>
            <w:r w:rsidR="00283E63">
              <w:rPr>
                <w:highlight w:val="white"/>
                <w:lang w:val="uk-UA"/>
              </w:rPr>
              <w:t>абзац 5 п. 38 Особливостей.</w:t>
            </w:r>
          </w:p>
          <w:p w:rsidR="00F031BA" w:rsidRDefault="00F031BA" w:rsidP="00F031BA">
            <w:pPr>
              <w:widowControl w:val="0"/>
              <w:jc w:val="both"/>
              <w:rPr>
                <w:highlight w:val="white"/>
              </w:rPr>
            </w:pPr>
            <w:r>
              <w:rPr>
                <w:highlight w:val="white"/>
                <w:lang w:val="uk-UA"/>
              </w:rPr>
              <w:t xml:space="preserve">    </w:t>
            </w:r>
            <w:r>
              <w:rPr>
                <w:highlight w:val="white"/>
              </w:rPr>
              <w:t xml:space="preserve">— визначив конфіденційною інформацію, що не може бути визначена як конфіденційна відповідно до вимог </w:t>
            </w:r>
            <w:r w:rsidR="00F40DD8">
              <w:rPr>
                <w:highlight w:val="white"/>
                <w:lang w:val="uk-UA"/>
              </w:rPr>
              <w:t xml:space="preserve"> </w:t>
            </w:r>
            <w:r w:rsidR="00283E63">
              <w:rPr>
                <w:highlight w:val="white"/>
                <w:lang w:val="uk-UA"/>
              </w:rPr>
              <w:t>абзац 2 п. 36 Особливостей</w:t>
            </w:r>
            <w:r>
              <w:rPr>
                <w:highlight w:val="white"/>
              </w:rPr>
              <w:t>;</w:t>
            </w:r>
          </w:p>
          <w:p w:rsidR="00283E63" w:rsidRPr="009A57F4" w:rsidRDefault="00F031BA" w:rsidP="00F031BA">
            <w:pPr>
              <w:widowControl w:val="0"/>
              <w:pBdr>
                <w:top w:val="nil"/>
                <w:left w:val="nil"/>
                <w:bottom w:val="nil"/>
                <w:right w:val="nil"/>
                <w:between w:val="nil"/>
              </w:pBdr>
              <w:spacing w:line="228" w:lineRule="auto"/>
              <w:jc w:val="both"/>
              <w:rPr>
                <w:sz w:val="28"/>
                <w:szCs w:val="28"/>
                <w:lang w:val="uk-UA"/>
              </w:rPr>
            </w:pPr>
            <w:r>
              <w:rPr>
                <w:highlight w:val="white"/>
                <w:lang w:val="uk-UA"/>
              </w:rPr>
              <w:t xml:space="preserve">    </w:t>
            </w:r>
            <w:r w:rsidRPr="00283E63">
              <w:rPr>
                <w:sz w:val="22"/>
                <w:highlight w:val="white"/>
                <w:lang w:val="uk-UA"/>
              </w:rPr>
              <w:t xml:space="preserve">— </w:t>
            </w:r>
            <w:r w:rsidR="00283E63" w:rsidRPr="009A57F4">
              <w:rPr>
                <w:szCs w:val="28"/>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283E63" w:rsidRPr="00283E63">
              <w:rPr>
                <w:szCs w:val="28"/>
              </w:rPr>
              <w:t> </w:t>
            </w:r>
            <w:r w:rsidR="00283E63" w:rsidRPr="009A57F4">
              <w:rPr>
                <w:szCs w:val="28"/>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283E63" w:rsidRPr="009A57F4">
              <w:rPr>
                <w:szCs w:val="28"/>
                <w:lang w:val="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F40DD8" w:rsidRDefault="00F031BA" w:rsidP="00F031BA">
            <w:pPr>
              <w:widowControl w:val="0"/>
              <w:pBdr>
                <w:top w:val="nil"/>
                <w:left w:val="nil"/>
                <w:bottom w:val="nil"/>
                <w:right w:val="nil"/>
                <w:between w:val="nil"/>
              </w:pBdr>
              <w:spacing w:line="228" w:lineRule="auto"/>
              <w:jc w:val="both"/>
              <w:rPr>
                <w:sz w:val="22"/>
                <w:highlight w:val="white"/>
                <w:lang w:val="uk-UA"/>
              </w:rPr>
            </w:pPr>
            <w:r>
              <w:rPr>
                <w:highlight w:val="white"/>
                <w:lang w:val="uk-UA"/>
              </w:rPr>
              <w:t xml:space="preserve">     </w:t>
            </w:r>
            <w:r w:rsidRPr="009438EA">
              <w:rPr>
                <w:highlight w:val="white"/>
                <w:lang w:val="uk-UA"/>
              </w:rPr>
              <w:t xml:space="preserve">— </w:t>
            </w:r>
            <w:r w:rsidR="00F40DD8" w:rsidRPr="00F40DD8">
              <w:rPr>
                <w:szCs w:val="28"/>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F40DD8">
              <w:rPr>
                <w:szCs w:val="28"/>
                <w:lang w:val="uk-UA"/>
              </w:rPr>
              <w:t>О</w:t>
            </w:r>
            <w:r w:rsidR="00F40DD8" w:rsidRPr="00F40DD8">
              <w:rPr>
                <w:szCs w:val="28"/>
                <w:lang w:val="uk-UA"/>
              </w:rPr>
              <w:t>собливостей</w:t>
            </w:r>
            <w:r w:rsidRPr="00F40DD8">
              <w:rPr>
                <w:sz w:val="22"/>
                <w:highlight w:val="white"/>
                <w:lang w:val="uk-UA"/>
              </w:rPr>
              <w:t>;</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надав у спосіб, зазначений в тендерній документації, документи, що підтверджують відсутність підстав, </w:t>
            </w:r>
            <w:r w:rsidR="00F40DD8">
              <w:rPr>
                <w:highlight w:val="white"/>
                <w:lang w:val="uk-UA"/>
              </w:rPr>
              <w:t>визначиних</w:t>
            </w:r>
            <w:r w:rsidR="003871C7">
              <w:rPr>
                <w:highlight w:val="white"/>
              </w:rPr>
              <w:t xml:space="preserve"> пунктом </w:t>
            </w:r>
            <w:r>
              <w:rPr>
                <w:highlight w:val="white"/>
              </w:rPr>
              <w:t>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w:t>
            </w:r>
            <w:r w:rsidR="003871C7">
              <w:rPr>
                <w:highlight w:val="white"/>
                <w:lang w:val="uk-UA"/>
              </w:rPr>
              <w:t xml:space="preserve"> згідно п. 39 Особливостей</w:t>
            </w:r>
            <w:r w:rsidRPr="009438EA">
              <w:rPr>
                <w:highlight w:val="white"/>
                <w:lang w:val="uk-UA"/>
              </w:rPr>
              <w:t>.</w:t>
            </w:r>
          </w:p>
          <w:p w:rsidR="00F031BA" w:rsidRDefault="00F031BA" w:rsidP="00F031BA">
            <w:pPr>
              <w:widowControl w:val="0"/>
              <w:pBdr>
                <w:top w:val="nil"/>
                <w:left w:val="nil"/>
                <w:bottom w:val="nil"/>
                <w:right w:val="nil"/>
                <w:between w:val="nil"/>
              </w:pBdr>
              <w:spacing w:line="228" w:lineRule="auto"/>
              <w:jc w:val="both"/>
              <w:rPr>
                <w:b/>
                <w:i/>
                <w:highlight w:val="white"/>
              </w:rPr>
            </w:pPr>
            <w:r>
              <w:rPr>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9438EA">
              <w:rPr>
                <w:highlight w:val="white"/>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541BCA" w:rsidP="00F031BA">
            <w:pPr>
              <w:widowControl w:val="0"/>
              <w:jc w:val="both"/>
            </w:pPr>
            <w:r>
              <w:rPr>
                <w:lang w:val="uk-UA"/>
              </w:rPr>
              <w:t xml:space="preserve">      </w:t>
            </w:r>
            <w:r w:rsidR="00F031B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031BA">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w:t>
            </w:r>
            <w:r w:rsidRPr="00FF4F7B">
              <w:rPr>
                <w:highlight w:val="white"/>
                <w:lang w:val="uk-UA"/>
              </w:rPr>
              <w:lastRenderedPageBreak/>
              <w:t xml:space="preserve">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D349ED"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00EA623B">
              <w:rPr>
                <w:rFonts w:ascii="Times New Roman" w:hAnsi="Times New Roman" w:cs="Times New Roman"/>
                <w:b/>
                <w:color w:val="auto"/>
                <w:sz w:val="24"/>
                <w:szCs w:val="24"/>
                <w:lang w:val="uk-UA"/>
              </w:rPr>
              <w:t>4</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E41574">
              <w:rPr>
                <w:i/>
                <w:highlight w:val="white"/>
                <w:lang w:val="uk-UA"/>
              </w:rPr>
              <w:t xml:space="preserve"> абзацу 4</w:t>
            </w:r>
            <w:r w:rsidRPr="00C71319">
              <w:rPr>
                <w:i/>
                <w:highlight w:val="white"/>
                <w:lang w:val="uk-UA"/>
              </w:rPr>
              <w:t xml:space="preserve">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E41574">
              <w:rPr>
                <w:lang w:val="uk-UA"/>
              </w:rPr>
              <w:t>,</w:t>
            </w:r>
            <w:r w:rsidR="00864F8D">
              <w:rPr>
                <w:lang w:val="uk-UA"/>
              </w:rPr>
              <w:t xml:space="preserve"> </w:t>
            </w:r>
            <w:r w:rsidR="00E41574" w:rsidRPr="00E41574">
              <w:rPr>
                <w:lang w:val="uk-UA"/>
              </w:rPr>
              <w:t>крім частин третьої – п’ятої, сьомої – дев’ятої статті 41 Закону, та Особливостей</w:t>
            </w:r>
            <w:r w:rsidRPr="00E41574">
              <w:rPr>
                <w:lang w:val="uk-UA"/>
              </w:rPr>
              <w:t>.</w:t>
            </w:r>
          </w:p>
          <w:p w:rsidR="005E1882" w:rsidRDefault="005E1882" w:rsidP="00DF2537">
            <w:pPr>
              <w:widowControl w:val="0"/>
              <w:ind w:firstLine="512"/>
              <w:jc w:val="both"/>
              <w:rPr>
                <w:lang w:val="uk-UA"/>
              </w:rPr>
            </w:pPr>
            <w:r w:rsidRPr="009749B5">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3871C7" w:rsidRDefault="00FB305E" w:rsidP="00FB305E">
            <w:pPr>
              <w:widowControl w:val="0"/>
              <w:ind w:firstLine="541"/>
              <w:jc w:val="both"/>
              <w:rPr>
                <w:lang w:val="uk-UA"/>
              </w:rPr>
            </w:pPr>
            <w:r w:rsidRPr="003871C7">
              <w:rPr>
                <w:lang w:val="uk-UA"/>
              </w:rPr>
              <w:lastRenderedPageBreak/>
              <w:t xml:space="preserve">Умови договору про закупівлю не повинні відрізнятися </w:t>
            </w:r>
            <w:r w:rsidR="003871C7" w:rsidRPr="003871C7">
              <w:rPr>
                <w:lang w:val="uk-UA"/>
              </w:rPr>
              <w:t xml:space="preserve">від змісту тендерної пропозиції </w:t>
            </w:r>
            <w:r w:rsidRPr="003871C7">
              <w:rPr>
                <w:lang w:val="uk-UA"/>
              </w:rPr>
              <w:t>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визначення грошового еквівалента зобов’язання в іноземній валюті;</w:t>
            </w:r>
          </w:p>
          <w:p w:rsidR="00FB305E" w:rsidRPr="009D556F" w:rsidRDefault="00FB305E" w:rsidP="00FB305E">
            <w:pPr>
              <w:pStyle w:val="af5"/>
              <w:widowControl w:val="0"/>
              <w:numPr>
                <w:ilvl w:val="1"/>
                <w:numId w:val="39"/>
              </w:numPr>
              <w:ind w:left="1079" w:hanging="284"/>
              <w:contextualSpacing/>
              <w:jc w:val="both"/>
            </w:pPr>
            <w:r w:rsidRPr="009D556F">
              <w:t xml:space="preserve">перерахунку ціни в бік зменшення ціни тендерної пропозиції </w:t>
            </w:r>
            <w:r w:rsidR="003871C7">
              <w:t xml:space="preserve">переможця </w:t>
            </w:r>
            <w:r w:rsidRPr="009D556F">
              <w:t>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w:t>
            </w:r>
            <w:r w:rsidR="003871C7">
              <w:t xml:space="preserve">рахунку ціни та обсягів товарів </w:t>
            </w:r>
            <w:r w:rsidRPr="009D556F">
              <w:t>в бік 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5" w:name="n580"/>
            <w:bookmarkEnd w:id="15"/>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6" w:name="n75"/>
            <w:bookmarkEnd w:id="16"/>
          </w:p>
          <w:p w:rsidR="005E1882" w:rsidRPr="005E1882" w:rsidRDefault="005E1882" w:rsidP="005E1882">
            <w:pPr>
              <w:widowControl w:val="0"/>
              <w:ind w:firstLine="541"/>
              <w:jc w:val="both"/>
            </w:pPr>
            <w:r w:rsidRPr="005E18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7" w:name="n76"/>
            <w:bookmarkEnd w:id="17"/>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8" w:name="n77"/>
            <w:bookmarkEnd w:id="18"/>
          </w:p>
          <w:p w:rsidR="005E1882" w:rsidRPr="005E1882" w:rsidRDefault="005E1882" w:rsidP="005E1882">
            <w:pPr>
              <w:widowControl w:val="0"/>
              <w:ind w:firstLine="541"/>
              <w:jc w:val="both"/>
            </w:pPr>
            <w:r w:rsidRPr="005E1882">
              <w:t>4) продовження строку дії договору про закупівлю та</w:t>
            </w:r>
            <w:r w:rsidR="003871C7">
              <w:rPr>
                <w:lang w:val="uk-UA"/>
              </w:rPr>
              <w:t>/або</w:t>
            </w:r>
            <w:r w:rsidRPr="005E1882">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9" w:name="n78"/>
            <w:bookmarkEnd w:id="19"/>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20" w:name="n79"/>
            <w:bookmarkEnd w:id="20"/>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1" w:name="n80"/>
            <w:bookmarkEnd w:id="21"/>
          </w:p>
          <w:p w:rsidR="005E1882" w:rsidRPr="005E1882" w:rsidRDefault="005E1882" w:rsidP="005E1882">
            <w:pPr>
              <w:widowControl w:val="0"/>
              <w:ind w:firstLine="541"/>
              <w:jc w:val="both"/>
            </w:pPr>
            <w:r w:rsidRPr="005E188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5E1882">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2" w:name="n81"/>
            <w:bookmarkEnd w:id="22"/>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t>Договір про закупівлю є нікчемним у разі:</w:t>
            </w:r>
            <w:bookmarkStart w:id="23" w:name="n95"/>
            <w:bookmarkEnd w:id="23"/>
          </w:p>
          <w:p w:rsidR="009D556F" w:rsidRDefault="009D556F" w:rsidP="009D556F">
            <w:pPr>
              <w:widowControl w:val="0"/>
              <w:ind w:firstLine="541"/>
              <w:jc w:val="both"/>
            </w:pPr>
            <w:r w:rsidRPr="009D556F">
              <w:t xml:space="preserve">1) коли замовник уклав договір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4" w:name="n96"/>
            <w:bookmarkEnd w:id="24"/>
          </w:p>
          <w:p w:rsidR="009D556F" w:rsidRDefault="009D556F" w:rsidP="009D556F">
            <w:pPr>
              <w:widowControl w:val="0"/>
              <w:ind w:firstLine="541"/>
              <w:jc w:val="both"/>
            </w:pPr>
            <w:r w:rsidRPr="009D556F">
              <w:t xml:space="preserve">2) укладення договору про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5" w:name="n97"/>
            <w:bookmarkEnd w:id="25"/>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відповідно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6" w:name="n98"/>
            <w:bookmarkEnd w:id="26"/>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7" w:name="n99"/>
            <w:bookmarkEnd w:id="27"/>
          </w:p>
          <w:p w:rsidR="00F031BA" w:rsidRPr="00FB305E" w:rsidRDefault="009D556F" w:rsidP="00FB305E">
            <w:pPr>
              <w:widowControl w:val="0"/>
              <w:ind w:firstLine="541"/>
              <w:jc w:val="both"/>
            </w:pPr>
            <w:r w:rsidRPr="009D556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CB4FD2" w:rsidRDefault="00CB4FD2" w:rsidP="001C23A1">
      <w:pPr>
        <w:jc w:val="right"/>
        <w:rPr>
          <w:b/>
        </w:rPr>
      </w:pPr>
    </w:p>
    <w:p w:rsidR="003871C7" w:rsidRDefault="003871C7"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EA623B" w:rsidRDefault="00EA623B"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Pr="00E57B4E"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CB4FD2" w:rsidRPr="00E57B4E" w:rsidRDefault="00CB4FD2" w:rsidP="00CB4FD2">
      <w:pPr>
        <w:jc w:val="center"/>
        <w:rPr>
          <w:b/>
          <w:bCs/>
          <w:lang w:val="uk-UA"/>
        </w:rPr>
      </w:pPr>
    </w:p>
    <w:p w:rsidR="00CB4FD2" w:rsidRPr="008459DA" w:rsidRDefault="00CB4FD2" w:rsidP="00CB4FD2">
      <w:pPr>
        <w:ind w:firstLine="426"/>
        <w:jc w:val="both"/>
        <w:rPr>
          <w:b/>
          <w:lang w:val="uk-UA"/>
        </w:rPr>
      </w:pP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CB4FD2" w:rsidRDefault="00CB4FD2" w:rsidP="00CB4FD2">
      <w:pPr>
        <w:ind w:firstLine="567"/>
        <w:jc w:val="both"/>
        <w:rPr>
          <w:lang w:val="uk-UA"/>
        </w:rPr>
      </w:pPr>
    </w:p>
    <w:p w:rsidR="00CB4FD2" w:rsidRDefault="00CB4FD2" w:rsidP="00CB4FD2">
      <w:pPr>
        <w:jc w:val="both"/>
        <w:rPr>
          <w:lang w:val="uk-UA"/>
        </w:rPr>
      </w:pPr>
    </w:p>
    <w:p w:rsidR="00CB4FD2" w:rsidRDefault="00CB4FD2" w:rsidP="00CB4FD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CB4FD2" w:rsidRDefault="00CB4FD2" w:rsidP="00CB4FD2">
      <w:pPr>
        <w:ind w:firstLine="567"/>
        <w:jc w:val="both"/>
        <w:rPr>
          <w:lang w:val="uk-UA"/>
        </w:rPr>
      </w:pPr>
      <w:r w:rsidRPr="008B5C2F">
        <w:rPr>
          <w:lang w:val="uk-UA"/>
        </w:rPr>
        <w:t xml:space="preserve">На підтвердження договору (договорів), вказаного в таблиці, надаються </w:t>
      </w:r>
      <w:r>
        <w:rPr>
          <w:lang w:val="uk-UA"/>
        </w:rPr>
        <w:t xml:space="preserve">копія договору з </w:t>
      </w:r>
      <w:r w:rsidRPr="008B5C2F">
        <w:rPr>
          <w:lang w:val="uk-UA"/>
        </w:rPr>
        <w:t>додатк</w:t>
      </w:r>
      <w:r>
        <w:rPr>
          <w:lang w:val="uk-UA"/>
        </w:rPr>
        <w:t>ами.</w:t>
      </w:r>
    </w:p>
    <w:p w:rsidR="00CB4FD2" w:rsidRDefault="00CB4FD2" w:rsidP="00CB4FD2">
      <w:pPr>
        <w:ind w:firstLine="426"/>
        <w:jc w:val="both"/>
        <w:rPr>
          <w:lang w:val="uk-UA"/>
        </w:rPr>
      </w:pPr>
    </w:p>
    <w:p w:rsidR="00CB4FD2" w:rsidRDefault="00CB4FD2" w:rsidP="00CB4FD2">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CB4FD2" w:rsidRDefault="00CB4FD2" w:rsidP="003001F7">
      <w:pPr>
        <w:ind w:firstLine="851"/>
        <w:jc w:val="both"/>
        <w:rPr>
          <w:lang w:val="uk-UA"/>
        </w:rPr>
      </w:pPr>
    </w:p>
    <w:p w:rsidR="00EA623B" w:rsidRDefault="00EA623B" w:rsidP="003001F7">
      <w:pPr>
        <w:ind w:firstLine="851"/>
        <w:jc w:val="both"/>
        <w:rPr>
          <w:lang w:val="uk-UA"/>
        </w:rPr>
      </w:pPr>
    </w:p>
    <w:p w:rsidR="00EA623B" w:rsidRDefault="00EA623B" w:rsidP="003001F7">
      <w:pPr>
        <w:ind w:firstLine="851"/>
        <w:jc w:val="both"/>
        <w:rPr>
          <w:lang w:val="uk-UA"/>
        </w:rPr>
      </w:pPr>
    </w:p>
    <w:p w:rsidR="00555A6A" w:rsidRDefault="00555A6A" w:rsidP="009D556F">
      <w:pPr>
        <w:tabs>
          <w:tab w:val="left" w:pos="8595"/>
        </w:tabs>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F81BAD">
        <w:rPr>
          <w:b/>
          <w:bCs/>
          <w:lang w:val="uk-UA"/>
        </w:rPr>
        <w:t>У ПУНКТІ 44 ОСОБЛИВОСТЕЙ</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819"/>
        <w:gridCol w:w="2834"/>
      </w:tblGrid>
      <w:tr w:rsidR="00665520" w:rsidRPr="00CD4EA1" w:rsidTr="00F81BAD">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F81BAD" w:rsidP="004F3634">
            <w:pPr>
              <w:ind w:right="23"/>
              <w:jc w:val="center"/>
              <w:rPr>
                <w:rStyle w:val="FontStyle38"/>
                <w:rFonts w:eastAsia="Courier New"/>
                <w:b/>
                <w:sz w:val="20"/>
                <w:szCs w:val="20"/>
                <w:lang w:val="uk-UA" w:eastAsia="uk-UA"/>
              </w:rPr>
            </w:pPr>
            <w:r w:rsidRPr="00CD4EA1">
              <w:rPr>
                <w:rStyle w:val="FontStyle38"/>
                <w:rFonts w:eastAsia="Courier New"/>
                <w:b/>
                <w:sz w:val="20"/>
                <w:szCs w:val="20"/>
                <w:lang w:val="uk-UA" w:eastAsia="uk-UA"/>
              </w:rPr>
              <w:t>Вимоги, встановлені у пункті 44 Особливостей</w:t>
            </w:r>
          </w:p>
        </w:tc>
        <w:tc>
          <w:tcPr>
            <w:tcW w:w="4819"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665520" w:rsidRPr="00CD4EA1">
              <w:rPr>
                <w:b/>
                <w:bCs/>
                <w:sz w:val="20"/>
                <w:szCs w:val="20"/>
              </w:rPr>
              <w:t xml:space="preserve"> </w:t>
            </w:r>
            <w:r w:rsidRPr="00CD4EA1">
              <w:rPr>
                <w:b/>
                <w:bCs/>
                <w:sz w:val="20"/>
                <w:szCs w:val="20"/>
                <w:lang w:val="uk-UA"/>
              </w:rPr>
              <w:t>пункту 44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w:t>
            </w:r>
            <w:r w:rsidR="00853FA8" w:rsidRPr="00CD4EA1">
              <w:rPr>
                <w:sz w:val="20"/>
                <w:szCs w:val="20"/>
                <w:lang w:val="uk-UA"/>
              </w:rPr>
              <w:t>З</w:t>
            </w:r>
            <w:r w:rsidR="00853FA8"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3EC9" w:rsidRPr="00CD4EA1" w:rsidRDefault="00483EC9" w:rsidP="00853FA8">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w:t>
            </w:r>
            <w:r w:rsidR="00853FA8" w:rsidRPr="00CD4EA1">
              <w:rPr>
                <w:rFonts w:ascii="Times New Roman" w:hAnsi="Times New Roman" w:cs="Times New Roman"/>
                <w:i/>
                <w:sz w:val="20"/>
                <w:szCs w:val="20"/>
              </w:rPr>
              <w:t>підпункт 1 пункту 44 Особливостей</w:t>
            </w:r>
            <w:r w:rsidRPr="00CD4EA1">
              <w:rPr>
                <w:rFonts w:ascii="Times New Roman" w:hAnsi="Times New Roman" w:cs="Times New Roman"/>
                <w:i/>
                <w:sz w:val="20"/>
                <w:szCs w:val="20"/>
              </w:rPr>
              <w:t>)</w:t>
            </w:r>
          </w:p>
        </w:tc>
        <w:tc>
          <w:tcPr>
            <w:tcW w:w="4819" w:type="dxa"/>
            <w:vMerge w:val="restart"/>
            <w:tcBorders>
              <w:top w:val="single" w:sz="4" w:space="0" w:color="auto"/>
              <w:left w:val="single" w:sz="4" w:space="0" w:color="auto"/>
              <w:right w:val="single" w:sz="4" w:space="0" w:color="auto"/>
            </w:tcBorders>
          </w:tcPr>
          <w:p w:rsidR="00483EC9" w:rsidRPr="00CD4EA1" w:rsidRDefault="00853FA8" w:rsidP="0044227C">
            <w:pPr>
              <w:pStyle w:val="1b"/>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w:t>
            </w:r>
            <w:r w:rsidRPr="00CD4EA1">
              <w:rPr>
                <w:rFonts w:ascii="Times New Roman" w:hAnsi="Times New Roman" w:cs="Times New Roman"/>
                <w:sz w:val="20"/>
                <w:szCs w:val="20"/>
                <w:shd w:val="clear" w:color="auto" w:fill="FFFFFF"/>
              </w:rPr>
              <w:t xml:space="preserve"> </w:t>
            </w:r>
            <w:r w:rsidR="007703B6" w:rsidRPr="00CD4EA1">
              <w:rPr>
                <w:rFonts w:ascii="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CD4EA1" w:rsidRDefault="00483EC9"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007703B6" w:rsidRPr="00CD4EA1">
              <w:rPr>
                <w:rFonts w:ascii="Times New Roman" w:hAnsi="Times New Roman" w:cs="Times New Roman"/>
                <w:i/>
                <w:sz w:val="20"/>
                <w:szCs w:val="20"/>
              </w:rPr>
              <w:t>підпункт 2 пункту 44 Особливостей</w:t>
            </w:r>
            <w:r w:rsidRPr="00CD4EA1">
              <w:rPr>
                <w:rStyle w:val="rvts46"/>
                <w:rFonts w:ascii="Times New Roman" w:hAnsi="Times New Roman"/>
                <w:i/>
                <w:iCs/>
                <w:sz w:val="20"/>
                <w:szCs w:val="20"/>
                <w:bdr w:val="none" w:sz="0" w:space="0" w:color="auto" w:frame="1"/>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w:t>
            </w:r>
            <w:r w:rsidRPr="00CD4EA1">
              <w:rPr>
                <w:rFonts w:ascii="Times New Roman" w:hAnsi="Times New Roman" w:cs="Times New Roman"/>
                <w:color w:val="auto"/>
                <w:sz w:val="20"/>
                <w:szCs w:val="20"/>
                <w:lang w:val="uk-UA"/>
              </w:rPr>
              <w:t xml:space="preserve"> </w:t>
            </w:r>
            <w:r w:rsidRPr="00CD4EA1">
              <w:rPr>
                <w:rFonts w:ascii="Times New Roman" w:hAnsi="Times New Roman" w:cs="Times New Roman"/>
                <w:color w:val="auto"/>
                <w:sz w:val="20"/>
                <w:szCs w:val="20"/>
              </w:rPr>
              <w:t>розміщення інформації:</w:t>
            </w:r>
          </w:p>
          <w:p w:rsidR="00483EC9" w:rsidRPr="00CD4EA1"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3.</w:t>
            </w:r>
            <w:r w:rsidRPr="00CD4EA1">
              <w:rPr>
                <w:sz w:val="20"/>
                <w:szCs w:val="20"/>
                <w:shd w:val="clear" w:color="auto" w:fill="FFFFFF"/>
                <w:lang w:val="uk-UA"/>
              </w:rPr>
              <w:t xml:space="preserve"> </w:t>
            </w:r>
            <w:r w:rsidR="007703B6" w:rsidRPr="00CD4EA1">
              <w:rPr>
                <w:sz w:val="20"/>
                <w:szCs w:val="20"/>
                <w:lang w:val="uk-UA"/>
              </w:rPr>
              <w:t>К</w:t>
            </w:r>
            <w:r w:rsidR="007703B6"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CD4EA1" w:rsidRDefault="00483EC9" w:rsidP="00BA1977">
            <w:pPr>
              <w:ind w:right="23"/>
              <w:rPr>
                <w:b/>
                <w:bCs/>
                <w:i/>
                <w:sz w:val="20"/>
                <w:szCs w:val="20"/>
                <w:lang w:val="uk-UA"/>
              </w:rPr>
            </w:pPr>
            <w:r w:rsidRPr="00CD4EA1">
              <w:rPr>
                <w:i/>
                <w:sz w:val="20"/>
                <w:szCs w:val="20"/>
              </w:rPr>
              <w:t>(</w:t>
            </w:r>
            <w:r w:rsidR="00BA1977" w:rsidRPr="00CD4EA1">
              <w:rPr>
                <w:i/>
                <w:sz w:val="20"/>
                <w:szCs w:val="20"/>
              </w:rPr>
              <w:t xml:space="preserve">підпункт </w:t>
            </w:r>
            <w:r w:rsidR="00BA1977">
              <w:rPr>
                <w:i/>
                <w:sz w:val="20"/>
                <w:szCs w:val="20"/>
                <w:lang w:val="uk-UA"/>
              </w:rPr>
              <w:t>3</w:t>
            </w:r>
            <w:r w:rsidR="00BA1977" w:rsidRPr="00CD4EA1">
              <w:rPr>
                <w:i/>
                <w:sz w:val="20"/>
                <w:szCs w:val="20"/>
              </w:rPr>
              <w:t xml:space="preserve"> пункту 44 Особливостей</w:t>
            </w:r>
            <w:r w:rsidRPr="00CD4EA1">
              <w:rPr>
                <w:i/>
                <w:sz w:val="20"/>
                <w:szCs w:val="20"/>
              </w:rPr>
              <w:t>)</w:t>
            </w:r>
          </w:p>
        </w:tc>
        <w:tc>
          <w:tcPr>
            <w:tcW w:w="4819" w:type="dxa"/>
            <w:vMerge/>
            <w:tcBorders>
              <w:left w:val="single" w:sz="4" w:space="0" w:color="auto"/>
              <w:right w:val="single" w:sz="4" w:space="0" w:color="auto"/>
            </w:tcBorders>
          </w:tcPr>
          <w:p w:rsidR="00483EC9" w:rsidRPr="00CD4EA1"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71140F"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00483EC9" w:rsidRPr="00CD4EA1">
              <w:rPr>
                <w:sz w:val="20"/>
                <w:szCs w:val="20"/>
                <w:lang w:val="uk-UA"/>
              </w:rPr>
              <w:t>.</w:t>
            </w:r>
            <w:r w:rsidR="00C23618" w:rsidRPr="00CD4EA1">
              <w:rPr>
                <w:sz w:val="20"/>
                <w:szCs w:val="20"/>
                <w:lang w:val="uk-UA"/>
              </w:rPr>
              <w:t xml:space="preserve"> </w:t>
            </w:r>
            <w:r w:rsidR="00483EC9" w:rsidRPr="00CD4EA1">
              <w:rPr>
                <w:sz w:val="20"/>
                <w:szCs w:val="20"/>
                <w:lang w:val="uk-UA"/>
              </w:rPr>
              <w:t>Документ має бути сформований не раніше дати визначення переможця процедури закупівлі</w:t>
            </w:r>
            <w:r w:rsidR="008A4DAE" w:rsidRPr="00CD4EA1">
              <w:rPr>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ind w:right="23"/>
              <w:rPr>
                <w:sz w:val="20"/>
                <w:szCs w:val="20"/>
                <w:lang w:val="uk-UA"/>
              </w:rPr>
            </w:pPr>
            <w:r w:rsidRPr="00CD4EA1">
              <w:rPr>
                <w:sz w:val="20"/>
                <w:szCs w:val="20"/>
                <w:lang w:val="uk-UA"/>
              </w:rPr>
              <w:t>4.</w:t>
            </w:r>
            <w:r w:rsidR="007703B6" w:rsidRPr="00CD4EA1">
              <w:rPr>
                <w:sz w:val="20"/>
                <w:szCs w:val="20"/>
              </w:rPr>
              <w:t xml:space="preserve"> </w:t>
            </w:r>
            <w:r w:rsidR="007703B6" w:rsidRPr="00CD4EA1">
              <w:rPr>
                <w:sz w:val="20"/>
                <w:szCs w:val="20"/>
                <w:lang w:val="uk-UA"/>
              </w:rPr>
              <w:t>С</w:t>
            </w:r>
            <w:r w:rsidR="007703B6"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007703B6"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83EC9" w:rsidRPr="00CD4EA1" w:rsidRDefault="00483EC9" w:rsidP="004F3634">
            <w:pPr>
              <w:ind w:right="23"/>
              <w:rPr>
                <w:bCs/>
                <w:i/>
                <w:sz w:val="20"/>
                <w:szCs w:val="20"/>
                <w:lang w:val="uk-UA"/>
              </w:rPr>
            </w:pPr>
            <w:r w:rsidRPr="00CD4EA1">
              <w:rPr>
                <w:bCs/>
                <w:i/>
                <w:sz w:val="20"/>
                <w:szCs w:val="20"/>
              </w:rPr>
              <w:t>(</w:t>
            </w:r>
            <w:r w:rsidR="00BA1977">
              <w:rPr>
                <w:i/>
                <w:sz w:val="20"/>
                <w:szCs w:val="20"/>
              </w:rPr>
              <w:t>підпункт</w:t>
            </w:r>
            <w:r w:rsidR="00BA1977">
              <w:rPr>
                <w:i/>
                <w:sz w:val="20"/>
                <w:szCs w:val="20"/>
                <w:lang w:val="uk-UA"/>
              </w:rPr>
              <w:t xml:space="preserve"> 4</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483EC9" w:rsidRPr="00CD4EA1" w:rsidRDefault="00483EC9" w:rsidP="004F3634">
            <w:pPr>
              <w:pStyle w:val="1b"/>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eastAsia="uk-UA"/>
              </w:rPr>
              <w:t xml:space="preserve"> </w:t>
            </w:r>
            <w:r w:rsidRPr="00CD4EA1">
              <w:rPr>
                <w:rFonts w:ascii="Times New Roman" w:hAnsi="Times New Roman" w:cs="Times New Roman"/>
                <w:color w:val="auto"/>
                <w:sz w:val="20"/>
                <w:szCs w:val="20"/>
              </w:rPr>
              <w:t>Посилання розміщення інформації:</w:t>
            </w:r>
          </w:p>
          <w:p w:rsidR="00483EC9" w:rsidRPr="00CD4EA1" w:rsidRDefault="00483EC9" w:rsidP="004F3634">
            <w:pPr>
              <w:pStyle w:val="1b"/>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483EC9" w:rsidRPr="00CD4EA1" w:rsidRDefault="00483EC9" w:rsidP="004F3634">
            <w:pPr>
              <w:ind w:right="23"/>
              <w:rPr>
                <w:b/>
                <w:bCs/>
                <w:sz w:val="20"/>
                <w:szCs w:val="20"/>
              </w:rPr>
            </w:pPr>
          </w:p>
        </w:tc>
      </w:tr>
      <w:tr w:rsidR="00483EC9" w:rsidRPr="00ED6ED4"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rPr>
            </w:pPr>
            <w:r w:rsidRPr="00CD4EA1">
              <w:rPr>
                <w:sz w:val="20"/>
                <w:szCs w:val="20"/>
                <w:lang w:val="uk-UA"/>
              </w:rPr>
              <w:lastRenderedPageBreak/>
              <w:t>5.</w:t>
            </w:r>
            <w:r w:rsidRPr="00CD4EA1">
              <w:rPr>
                <w:sz w:val="20"/>
                <w:szCs w:val="20"/>
                <w:shd w:val="clear" w:color="auto" w:fill="FFFFFF"/>
                <w:lang w:val="uk-UA"/>
              </w:rPr>
              <w:t xml:space="preserve"> </w:t>
            </w:r>
            <w:r w:rsidR="007703B6" w:rsidRPr="00CD4EA1">
              <w:rPr>
                <w:sz w:val="20"/>
                <w:szCs w:val="20"/>
                <w:lang w:val="uk-UA"/>
              </w:rPr>
              <w:t>Ф</w:t>
            </w:r>
            <w:r w:rsidR="007703B6"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3EC9" w:rsidRPr="00CD4EA1" w:rsidRDefault="00483EC9" w:rsidP="00BA1977">
            <w:pPr>
              <w:tabs>
                <w:tab w:val="left" w:pos="916"/>
              </w:tabs>
              <w:ind w:right="23"/>
              <w:rPr>
                <w:i/>
                <w:sz w:val="20"/>
                <w:szCs w:val="20"/>
              </w:rPr>
            </w:pPr>
            <w:r w:rsidRPr="00CD4EA1">
              <w:rPr>
                <w:bCs/>
                <w:i/>
                <w:sz w:val="20"/>
                <w:szCs w:val="20"/>
              </w:rPr>
              <w:t>(</w:t>
            </w:r>
            <w:r w:rsidR="00BA1977">
              <w:rPr>
                <w:i/>
                <w:sz w:val="20"/>
                <w:szCs w:val="20"/>
              </w:rPr>
              <w:t>підпункт</w:t>
            </w:r>
            <w:r w:rsidR="00BA1977">
              <w:rPr>
                <w:i/>
                <w:sz w:val="20"/>
                <w:szCs w:val="20"/>
                <w:lang w:val="uk-UA"/>
              </w:rPr>
              <w:t xml:space="preserve"> 5</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ED6ED4" w:rsidRDefault="00ED6ED4"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sidRPr="00574804">
              <w:rPr>
                <w:sz w:val="20"/>
                <w:szCs w:val="20"/>
                <w:lang w:val="uk-UA"/>
              </w:rPr>
              <w:t>фізичної особи</w:t>
            </w:r>
            <w:r w:rsidRPr="00ED6ED4">
              <w:rPr>
                <w:sz w:val="20"/>
                <w:szCs w:val="20"/>
                <w:lang w:val="uk-UA"/>
              </w:rPr>
              <w:t xml:space="preserve">, яка </w:t>
            </w:r>
            <w:r w:rsidR="00574804">
              <w:rPr>
                <w:sz w:val="20"/>
                <w:szCs w:val="20"/>
                <w:lang w:val="uk-UA"/>
              </w:rPr>
              <w:t>є учасником процедури закупівлі</w:t>
            </w:r>
            <w:r w:rsidRPr="00ED6ED4">
              <w:rPr>
                <w:sz w:val="20"/>
                <w:szCs w:val="20"/>
                <w:lang w:val="uk-UA"/>
              </w:rPr>
              <w:t>.</w:t>
            </w:r>
            <w:r w:rsidRPr="00ED6ED4">
              <w:rPr>
                <w:color w:val="000000"/>
                <w:sz w:val="20"/>
                <w:szCs w:val="20"/>
                <w:lang w:val="uk-UA"/>
              </w:rPr>
              <w:t xml:space="preserve"> </w:t>
            </w:r>
          </w:p>
          <w:p w:rsidR="00FC63D1" w:rsidRPr="00FC63D1" w:rsidRDefault="00FC63D1"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483EC9" w:rsidRPr="00CD4EA1" w:rsidRDefault="00483EC9" w:rsidP="00ED6ED4">
            <w:pPr>
              <w:ind w:right="23"/>
              <w:rPr>
                <w:bCs/>
                <w:sz w:val="20"/>
                <w:szCs w:val="20"/>
                <w:lang w:val="uk-UA"/>
              </w:rPr>
            </w:pPr>
          </w:p>
        </w:tc>
      </w:tr>
      <w:tr w:rsidR="00483EC9" w:rsidRPr="00ED6ED4" w:rsidTr="00ED6ED4">
        <w:trPr>
          <w:trHeight w:val="4131"/>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w:t>
            </w:r>
            <w:r w:rsidR="007703B6" w:rsidRPr="00CD4EA1">
              <w:rPr>
                <w:sz w:val="20"/>
                <w:szCs w:val="20"/>
                <w:shd w:val="clear" w:color="auto" w:fill="FFFFFF"/>
                <w:lang w:val="uk-UA"/>
              </w:rPr>
              <w:t>К</w:t>
            </w:r>
            <w:r w:rsidR="007703B6"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3EC9" w:rsidRPr="00CD4EA1" w:rsidRDefault="00483EC9" w:rsidP="00BA1977">
            <w:pPr>
              <w:ind w:right="23"/>
              <w:rPr>
                <w:sz w:val="20"/>
                <w:szCs w:val="20"/>
                <w:shd w:val="clear" w:color="auto" w:fill="FFFFFF"/>
                <w:lang w:val="uk-UA"/>
              </w:rPr>
            </w:pPr>
            <w:r w:rsidRPr="00CD4EA1">
              <w:rPr>
                <w:bCs/>
                <w:i/>
                <w:sz w:val="20"/>
                <w:szCs w:val="20"/>
              </w:rPr>
              <w:t>(</w:t>
            </w:r>
            <w:r w:rsidR="00BA1977" w:rsidRPr="00CD4EA1">
              <w:rPr>
                <w:i/>
                <w:sz w:val="20"/>
                <w:szCs w:val="20"/>
              </w:rPr>
              <w:t xml:space="preserve">підпункт </w:t>
            </w:r>
            <w:r w:rsidR="00BA1977">
              <w:rPr>
                <w:i/>
                <w:sz w:val="20"/>
                <w:szCs w:val="20"/>
                <w:lang w:val="uk-UA"/>
              </w:rPr>
              <w:t>6</w:t>
            </w:r>
            <w:r w:rsidR="00BA1977" w:rsidRPr="00CD4EA1">
              <w:rPr>
                <w:i/>
                <w:sz w:val="20"/>
                <w:szCs w:val="20"/>
              </w:rPr>
              <w:t xml:space="preserve"> 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Default="00ED6ED4"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00574804">
              <w:rPr>
                <w:sz w:val="20"/>
                <w:szCs w:val="20"/>
                <w:lang w:val="uk-UA"/>
              </w:rPr>
              <w:t>керівника</w:t>
            </w:r>
            <w:r w:rsidRPr="00ED6ED4">
              <w:rPr>
                <w:sz w:val="20"/>
                <w:szCs w:val="20"/>
                <w:lang w:val="uk-UA"/>
              </w:rPr>
              <w:t xml:space="preserve"> учасника процедури закупівлі</w:t>
            </w:r>
            <w:r w:rsidR="00FC63D1">
              <w:rPr>
                <w:sz w:val="20"/>
                <w:szCs w:val="20"/>
                <w:lang w:val="uk-UA"/>
              </w:rPr>
              <w:t>.</w:t>
            </w:r>
          </w:p>
          <w:p w:rsidR="00FC63D1" w:rsidRPr="00FC63D1" w:rsidRDefault="00FC63D1"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FC63D1" w:rsidRPr="00CD4EA1" w:rsidRDefault="00FC63D1" w:rsidP="00FC63D1">
            <w:pPr>
              <w:ind w:right="23"/>
              <w:rPr>
                <w:bCs/>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left="-36" w:right="23"/>
              <w:rPr>
                <w:i/>
                <w:sz w:val="20"/>
                <w:szCs w:val="20"/>
                <w:lang w:val="uk-UA"/>
              </w:rPr>
            </w:pPr>
            <w:r w:rsidRPr="00CD4EA1">
              <w:rPr>
                <w:sz w:val="20"/>
                <w:szCs w:val="20"/>
                <w:lang w:val="uk-UA"/>
              </w:rPr>
              <w:t xml:space="preserve">7. </w:t>
            </w:r>
            <w:r w:rsidR="001E04EA" w:rsidRPr="00CD4EA1">
              <w:rPr>
                <w:sz w:val="20"/>
                <w:szCs w:val="20"/>
                <w:lang w:val="uk-UA"/>
              </w:rPr>
              <w:t>Т</w:t>
            </w:r>
            <w:r w:rsidR="001E04EA"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CD4EA1">
              <w:rPr>
                <w:i/>
                <w:sz w:val="20"/>
                <w:szCs w:val="20"/>
                <w:lang w:val="uk-UA"/>
              </w:rPr>
              <w:t xml:space="preserve"> </w:t>
            </w:r>
          </w:p>
          <w:p w:rsidR="00483EC9" w:rsidRPr="00CD4EA1" w:rsidRDefault="00483EC9" w:rsidP="00BA1977">
            <w:pPr>
              <w:ind w:left="-36" w:right="23"/>
              <w:rPr>
                <w:i/>
                <w:sz w:val="20"/>
                <w:szCs w:val="20"/>
                <w:lang w:val="uk-UA"/>
              </w:rPr>
            </w:pPr>
            <w:r w:rsidRPr="00CD4EA1">
              <w:rPr>
                <w:i/>
                <w:sz w:val="20"/>
                <w:szCs w:val="20"/>
                <w:lang w:val="uk-UA"/>
              </w:rPr>
              <w:t>(</w:t>
            </w:r>
            <w:r w:rsidR="00BA1977" w:rsidRPr="00CD4EA1">
              <w:rPr>
                <w:i/>
                <w:sz w:val="20"/>
                <w:szCs w:val="20"/>
              </w:rPr>
              <w:t xml:space="preserve">підпункт </w:t>
            </w:r>
            <w:r w:rsidR="00BA1977">
              <w:rPr>
                <w:i/>
                <w:sz w:val="20"/>
                <w:szCs w:val="20"/>
                <w:lang w:val="uk-UA"/>
              </w:rPr>
              <w:t>7</w:t>
            </w:r>
            <w:r w:rsidR="00BA1977" w:rsidRPr="00CD4EA1">
              <w:rPr>
                <w:i/>
                <w:sz w:val="20"/>
                <w:szCs w:val="20"/>
              </w:rPr>
              <w:t xml:space="preserve"> пункту 44 Особливостей</w:t>
            </w:r>
            <w:r w:rsidRPr="00CD4EA1">
              <w:rPr>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1b"/>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bCs/>
                <w:i/>
                <w:sz w:val="20"/>
                <w:szCs w:val="20"/>
                <w:lang w:val="uk-UA"/>
              </w:rPr>
            </w:pPr>
            <w:r w:rsidRPr="00CD4EA1">
              <w:rPr>
                <w:sz w:val="20"/>
                <w:szCs w:val="20"/>
                <w:lang w:val="uk-UA"/>
              </w:rPr>
              <w:t>8.</w:t>
            </w:r>
            <w:r w:rsidRPr="00CD4EA1">
              <w:rPr>
                <w:sz w:val="20"/>
                <w:szCs w:val="20"/>
                <w:shd w:val="clear" w:color="auto" w:fill="FFFFFF"/>
                <w:lang w:val="uk-UA"/>
              </w:rPr>
              <w:t xml:space="preserve"> </w:t>
            </w:r>
            <w:r w:rsidR="001E04EA" w:rsidRPr="00CD4EA1">
              <w:rPr>
                <w:sz w:val="20"/>
                <w:szCs w:val="20"/>
                <w:lang w:val="uk-UA"/>
              </w:rPr>
              <w:t>У</w:t>
            </w:r>
            <w:r w:rsidR="001E04EA" w:rsidRPr="00CD4EA1">
              <w:rPr>
                <w:sz w:val="20"/>
                <w:szCs w:val="20"/>
              </w:rPr>
              <w:t xml:space="preserve">часник процедури закупівлі визнаний в установленому законом порядку банкрутом та </w:t>
            </w:r>
            <w:r w:rsidR="001E04EA" w:rsidRPr="00CD4EA1">
              <w:rPr>
                <w:sz w:val="20"/>
                <w:szCs w:val="20"/>
              </w:rPr>
              <w:lastRenderedPageBreak/>
              <w:t>стосовно нього відкрита ліквідаційна процедура</w:t>
            </w:r>
          </w:p>
          <w:p w:rsidR="00483EC9" w:rsidRPr="00CD4EA1" w:rsidRDefault="00483EC9" w:rsidP="00BA1977">
            <w:pPr>
              <w:ind w:right="23"/>
              <w:rPr>
                <w:sz w:val="20"/>
                <w:szCs w:val="20"/>
              </w:rPr>
            </w:pPr>
            <w:r w:rsidRPr="00CD4EA1">
              <w:rPr>
                <w:bCs/>
                <w:i/>
                <w:sz w:val="20"/>
                <w:szCs w:val="20"/>
              </w:rPr>
              <w:t>(</w:t>
            </w:r>
            <w:r w:rsidR="00BA1977" w:rsidRPr="00CD4EA1">
              <w:rPr>
                <w:i/>
                <w:sz w:val="20"/>
                <w:szCs w:val="20"/>
              </w:rPr>
              <w:t xml:space="preserve">підпункт </w:t>
            </w:r>
            <w:r w:rsidR="00BA1977">
              <w:rPr>
                <w:i/>
                <w:sz w:val="20"/>
                <w:szCs w:val="20"/>
                <w:lang w:val="uk-UA"/>
              </w:rPr>
              <w:t xml:space="preserve">8 </w:t>
            </w:r>
            <w:r w:rsidR="00BA1977" w:rsidRPr="00CD4EA1">
              <w:rPr>
                <w:i/>
                <w:sz w:val="20"/>
                <w:szCs w:val="20"/>
              </w:rPr>
              <w:t>пункту 44 Особливостей</w:t>
            </w:r>
            <w:r w:rsidRPr="00CD4EA1">
              <w:rPr>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w:t>
            </w:r>
            <w:r w:rsidRPr="00CD4EA1">
              <w:rPr>
                <w:sz w:val="20"/>
                <w:szCs w:val="20"/>
                <w:lang w:val="uk-UA"/>
              </w:rPr>
              <w:lastRenderedPageBreak/>
              <w:t>підтвердження роздруковує її.</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D349ED" w:rsidP="00665520">
            <w:pPr>
              <w:jc w:val="both"/>
              <w:rPr>
                <w:bCs/>
                <w:sz w:val="20"/>
                <w:szCs w:val="20"/>
                <w:lang w:val="uk-UA"/>
              </w:rPr>
            </w:pPr>
            <w:hyperlink r:id="rId17" w:history="1">
              <w:r w:rsidR="00483EC9" w:rsidRPr="00CD4EA1">
                <w:rPr>
                  <w:rStyle w:val="aff"/>
                  <w:bCs/>
                  <w:color w:val="auto"/>
                  <w:sz w:val="20"/>
                  <w:szCs w:val="20"/>
                </w:rPr>
                <w:t>https://kap.minjust.gov.ua/services</w:t>
              </w:r>
            </w:hyperlink>
          </w:p>
          <w:p w:rsidR="00483EC9" w:rsidRPr="00CD4EA1" w:rsidRDefault="00483EC9" w:rsidP="00665520">
            <w:pPr>
              <w:jc w:val="both"/>
              <w:rPr>
                <w:sz w:val="20"/>
                <w:szCs w:val="20"/>
                <w:lang w:val="uk-UA"/>
              </w:rPr>
            </w:pP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001E04EA" w:rsidRPr="00CD4EA1">
              <w:rPr>
                <w:sz w:val="20"/>
                <w:szCs w:val="20"/>
                <w:lang w:val="uk-UA"/>
              </w:rPr>
              <w:t>У</w:t>
            </w:r>
            <w:r w:rsidR="001E04EA"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CD4EA1" w:rsidRDefault="00483EC9" w:rsidP="00665520">
            <w:pPr>
              <w:ind w:right="23"/>
              <w:rPr>
                <w:sz w:val="20"/>
                <w:szCs w:val="20"/>
                <w:lang w:val="uk-UA"/>
              </w:rPr>
            </w:pPr>
            <w:r w:rsidRPr="00CD4EA1">
              <w:rPr>
                <w:bCs/>
                <w:i/>
                <w:sz w:val="20"/>
                <w:szCs w:val="20"/>
                <w:lang w:val="uk-UA"/>
              </w:rPr>
              <w:t>(</w:t>
            </w:r>
            <w:r w:rsidR="00BA1977">
              <w:rPr>
                <w:i/>
                <w:sz w:val="20"/>
                <w:szCs w:val="20"/>
              </w:rPr>
              <w:t xml:space="preserve">підпункт </w:t>
            </w:r>
            <w:r w:rsidR="00BA1977">
              <w:rPr>
                <w:i/>
                <w:sz w:val="20"/>
                <w:szCs w:val="20"/>
                <w:lang w:val="uk-UA"/>
              </w:rPr>
              <w:t>9</w:t>
            </w:r>
            <w:r w:rsidR="00BA1977" w:rsidRPr="00CD4EA1">
              <w:rPr>
                <w:i/>
                <w:sz w:val="20"/>
                <w:szCs w:val="20"/>
              </w:rPr>
              <w:t xml:space="preserve">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483EC9" w:rsidRPr="00CD4EA1" w:rsidRDefault="00483EC9" w:rsidP="00665520">
            <w:pPr>
              <w:jc w:val="both"/>
              <w:rPr>
                <w:sz w:val="20"/>
                <w:szCs w:val="20"/>
                <w:lang w:val="uk-UA"/>
              </w:rPr>
            </w:pPr>
            <w:r w:rsidRPr="00CD4EA1">
              <w:rPr>
                <w:sz w:val="20"/>
                <w:szCs w:val="20"/>
                <w:lang w:val="uk-UA"/>
              </w:rPr>
              <w:t>Посилання розміщення інформації:</w:t>
            </w:r>
          </w:p>
          <w:p w:rsidR="00483EC9" w:rsidRPr="00CD4EA1" w:rsidRDefault="00483EC9" w:rsidP="00665520">
            <w:pPr>
              <w:autoSpaceDE w:val="0"/>
              <w:rPr>
                <w:sz w:val="20"/>
                <w:szCs w:val="20"/>
                <w:lang w:val="uk-UA"/>
              </w:rPr>
            </w:pPr>
            <w:r w:rsidRPr="00CD4EA1">
              <w:rPr>
                <w:bCs/>
                <w:sz w:val="20"/>
                <w:szCs w:val="20"/>
                <w:lang w:val="uk-UA"/>
              </w:rPr>
              <w:t>https://kap.minjust.gov.ua/services</w:t>
            </w:r>
          </w:p>
        </w:tc>
      </w:tr>
      <w:tr w:rsidR="00483EC9" w:rsidRPr="00CD4EA1"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ind w:right="23"/>
              <w:rPr>
                <w:sz w:val="20"/>
                <w:szCs w:val="20"/>
                <w:shd w:val="clear" w:color="auto" w:fill="FFFFFF"/>
                <w:lang w:val="uk-UA"/>
              </w:rPr>
            </w:pPr>
            <w:r w:rsidRPr="00CD4EA1">
              <w:rPr>
                <w:sz w:val="20"/>
                <w:szCs w:val="20"/>
                <w:shd w:val="clear" w:color="auto" w:fill="FFFFFF"/>
                <w:lang w:val="uk-UA"/>
              </w:rPr>
              <w:t>10.</w:t>
            </w:r>
            <w:r w:rsidR="001E04EA" w:rsidRPr="00CD4EA1">
              <w:rPr>
                <w:sz w:val="20"/>
                <w:szCs w:val="20"/>
              </w:rPr>
              <w:t xml:space="preserve"> </w:t>
            </w:r>
            <w:r w:rsidR="001E04EA" w:rsidRPr="00CD4EA1">
              <w:rPr>
                <w:sz w:val="20"/>
                <w:szCs w:val="20"/>
                <w:lang w:val="uk-UA"/>
              </w:rPr>
              <w:t>У</w:t>
            </w:r>
            <w:r w:rsidR="001E04EA" w:rsidRPr="00CD4EA1">
              <w:rPr>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83EC9" w:rsidRPr="00CD4EA1" w:rsidRDefault="00483EC9" w:rsidP="00665520">
            <w:pPr>
              <w:ind w:right="23"/>
              <w:rPr>
                <w:sz w:val="20"/>
                <w:szCs w:val="20"/>
                <w:shd w:val="clear" w:color="auto" w:fill="FFFFFF"/>
                <w:lang w:val="uk-UA"/>
              </w:rPr>
            </w:pPr>
            <w:r w:rsidRPr="00CD4EA1">
              <w:rPr>
                <w:bCs/>
                <w:i/>
                <w:sz w:val="20"/>
                <w:szCs w:val="20"/>
                <w:lang w:val="uk-UA"/>
              </w:rPr>
              <w:t>(</w:t>
            </w:r>
            <w:r w:rsidR="00BA1977" w:rsidRPr="00CD4EA1">
              <w:rPr>
                <w:i/>
                <w:sz w:val="20"/>
                <w:szCs w:val="20"/>
              </w:rPr>
              <w:t xml:space="preserve">підпункт </w:t>
            </w:r>
            <w:r w:rsidR="00BA1977">
              <w:rPr>
                <w:i/>
                <w:sz w:val="20"/>
                <w:szCs w:val="20"/>
                <w:lang w:val="uk-UA"/>
              </w:rPr>
              <w:t>1</w:t>
            </w:r>
            <w:r w:rsidR="00BA1977" w:rsidRPr="00CD4EA1">
              <w:rPr>
                <w:i/>
                <w:sz w:val="20"/>
                <w:szCs w:val="20"/>
              </w:rPr>
              <w:t>1 пункту 44 Особливостей</w:t>
            </w:r>
            <w:r w:rsidRPr="00CD4EA1">
              <w:rPr>
                <w:bCs/>
                <w:i/>
                <w:sz w:val="20"/>
                <w:szCs w:val="20"/>
                <w:lang w:val="uk-UA"/>
              </w:rPr>
              <w:t>)</w:t>
            </w:r>
          </w:p>
        </w:tc>
        <w:tc>
          <w:tcPr>
            <w:tcW w:w="4819" w:type="dxa"/>
            <w:vMerge/>
            <w:tcBorders>
              <w:left w:val="single" w:sz="4" w:space="0" w:color="auto"/>
              <w:right w:val="single" w:sz="4" w:space="0" w:color="auto"/>
            </w:tcBorders>
          </w:tcPr>
          <w:p w:rsidR="00483EC9" w:rsidRPr="00CD4EA1"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hyperlink r:id="rId18" w:tgtFrame="_blank" w:history="1">
              <w:r w:rsidRPr="00CD4EA1">
                <w:rPr>
                  <w:rStyle w:val="aff"/>
                  <w:color w:val="auto"/>
                  <w:sz w:val="20"/>
                  <w:szCs w:val="20"/>
                  <w:shd w:val="clear" w:color="auto" w:fill="FFFFFF"/>
                </w:rPr>
                <w:t>Законом України</w:t>
              </w:r>
            </w:hyperlink>
            <w:r w:rsidRPr="00CD4EA1">
              <w:rPr>
                <w:sz w:val="20"/>
                <w:szCs w:val="20"/>
                <w:shd w:val="clear" w:color="auto" w:fill="FFFFFF"/>
              </w:rPr>
              <w:t> "Про санкції"</w:t>
            </w:r>
          </w:p>
        </w:tc>
      </w:tr>
      <w:tr w:rsidR="00483EC9" w:rsidRPr="00CD4EA1" w:rsidTr="001E04EA">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CD4EA1"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w:t>
            </w:r>
            <w:r w:rsidRPr="00CD4EA1">
              <w:rPr>
                <w:rFonts w:ascii="Times New Roman" w:hAnsi="Times New Roman" w:cs="Times New Roman"/>
                <w:sz w:val="20"/>
                <w:szCs w:val="20"/>
                <w:shd w:val="clear" w:color="auto" w:fill="FFFFFF"/>
              </w:rPr>
              <w:t xml:space="preserve"> </w:t>
            </w:r>
            <w:r w:rsidR="001E04EA" w:rsidRPr="00CD4EA1">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D4EA1">
              <w:rPr>
                <w:rFonts w:ascii="Times New Roman" w:hAnsi="Times New Roman" w:cs="Times New Roman"/>
                <w:sz w:val="20"/>
                <w:szCs w:val="20"/>
                <w:lang w:eastAsia="ru-RU"/>
              </w:rPr>
              <w:t xml:space="preserve">  </w:t>
            </w:r>
          </w:p>
          <w:p w:rsidR="00483EC9" w:rsidRPr="00CD4EA1"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
                <w:bCs/>
                <w:i/>
                <w:sz w:val="20"/>
                <w:szCs w:val="20"/>
              </w:rPr>
              <w:t xml:space="preserve"> </w:t>
            </w:r>
            <w:r w:rsidRPr="00CD4EA1">
              <w:rPr>
                <w:rFonts w:ascii="Times New Roman" w:hAnsi="Times New Roman" w:cs="Times New Roman"/>
                <w:bCs/>
                <w:i/>
                <w:sz w:val="20"/>
                <w:szCs w:val="20"/>
              </w:rPr>
              <w:t>(</w:t>
            </w:r>
            <w:r w:rsidR="00BA1977" w:rsidRPr="00CD4EA1">
              <w:rPr>
                <w:rFonts w:ascii="Times New Roman" w:hAnsi="Times New Roman" w:cs="Times New Roman"/>
                <w:i/>
                <w:sz w:val="20"/>
                <w:szCs w:val="20"/>
              </w:rPr>
              <w:t>підпункт 1</w:t>
            </w:r>
            <w:r w:rsidR="00BA1977">
              <w:rPr>
                <w:rFonts w:ascii="Times New Roman" w:hAnsi="Times New Roman" w:cs="Times New Roman"/>
                <w:i/>
                <w:sz w:val="20"/>
                <w:szCs w:val="20"/>
              </w:rPr>
              <w:t>2</w:t>
            </w:r>
            <w:r w:rsidR="00BA1977" w:rsidRPr="00CD4EA1">
              <w:rPr>
                <w:rFonts w:ascii="Times New Roman" w:hAnsi="Times New Roman" w:cs="Times New Roman"/>
                <w:i/>
                <w:sz w:val="20"/>
                <w:szCs w:val="20"/>
              </w:rPr>
              <w:t xml:space="preserve"> пункту 44 Особливостей</w:t>
            </w:r>
            <w:r w:rsidRPr="00CD4EA1">
              <w:rPr>
                <w:rFonts w:ascii="Times New Roman" w:hAnsi="Times New Roman" w:cs="Times New Roman"/>
                <w:bCs/>
                <w:i/>
                <w:sz w:val="20"/>
                <w:szCs w:val="20"/>
              </w:rPr>
              <w:t>)</w:t>
            </w:r>
          </w:p>
        </w:tc>
        <w:tc>
          <w:tcPr>
            <w:tcW w:w="4819" w:type="dxa"/>
            <w:vMerge/>
            <w:tcBorders>
              <w:left w:val="single" w:sz="4" w:space="0" w:color="auto"/>
              <w:right w:val="single" w:sz="4" w:space="0" w:color="auto"/>
            </w:tcBorders>
          </w:tcPr>
          <w:p w:rsidR="00483EC9" w:rsidRPr="00CD4EA1"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861DBB" w:rsidRDefault="00861DBB" w:rsidP="00861DBB">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483EC9" w:rsidRPr="00CD4EA1" w:rsidRDefault="00861DBB" w:rsidP="00861DBB">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E04EA" w:rsidRPr="00D349ED"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1E04EA" w:rsidRPr="00CD4EA1" w:rsidRDefault="001E04EA" w:rsidP="00665520">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w:t>
            </w:r>
            <w:r w:rsidR="007E0EF4" w:rsidRPr="00CD4EA1">
              <w:rPr>
                <w:rFonts w:ascii="Times New Roman" w:hAnsi="Times New Roman" w:cs="Times New Roman"/>
                <w:sz w:val="20"/>
                <w:szCs w:val="20"/>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w:t>
            </w:r>
            <w:r w:rsidR="007E0EF4" w:rsidRPr="00CD4EA1">
              <w:rPr>
                <w:rFonts w:ascii="Times New Roman" w:hAnsi="Times New Roman" w:cs="Times New Roman"/>
                <w:sz w:val="20"/>
                <w:szCs w:val="20"/>
              </w:rPr>
              <w:lastRenderedPageBreak/>
              <w:t>санкції у вигляді штрафів та/або відшкодування збитків - протягом трьох років з дати дострокового розірвання такого договору</w:t>
            </w:r>
          </w:p>
          <w:p w:rsidR="007E0EF4" w:rsidRPr="00CD4EA1" w:rsidRDefault="007E0EF4" w:rsidP="00665520">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44 Особливостей)</w:t>
            </w:r>
          </w:p>
        </w:tc>
        <w:tc>
          <w:tcPr>
            <w:tcW w:w="4819" w:type="dxa"/>
            <w:tcBorders>
              <w:left w:val="single" w:sz="4" w:space="0" w:color="auto"/>
              <w:bottom w:val="single" w:sz="4" w:space="0" w:color="auto"/>
              <w:right w:val="single" w:sz="4" w:space="0" w:color="auto"/>
            </w:tcBorders>
          </w:tcPr>
          <w:p w:rsidR="001E04EA" w:rsidRPr="00CD4EA1" w:rsidRDefault="007E0EF4"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CD4EA1">
              <w:rPr>
                <w:sz w:val="20"/>
                <w:szCs w:val="20"/>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CD4EA1" w:rsidRPr="00CD4EA1">
              <w:rPr>
                <w:sz w:val="20"/>
                <w:szCs w:val="20"/>
                <w:lang w:val="uk-UA"/>
              </w:rPr>
              <w:t>)</w:t>
            </w:r>
            <w:r w:rsidRPr="00CD4EA1">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1E04EA" w:rsidRPr="00CD4EA1" w:rsidRDefault="00CD4EA1" w:rsidP="00665520">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CD4EA1">
              <w:rPr>
                <w:sz w:val="20"/>
                <w:szCs w:val="20"/>
                <w:lang w:val="uk-UA"/>
              </w:rPr>
              <w:lastRenderedPageBreak/>
              <w:t>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124C70" w:rsidRDefault="001D3315" w:rsidP="00EA623B">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CD4EA1">
        <w:rPr>
          <w:lang w:val="uk-UA"/>
        </w:rPr>
        <w:t>підпунктами</w:t>
      </w:r>
      <w:r w:rsidR="002359FC">
        <w:rPr>
          <w:lang w:val="uk-UA"/>
        </w:rPr>
        <w:t xml:space="preserve"> 2,4,8,9,</w:t>
      </w:r>
      <w:r w:rsidR="00C23618">
        <w:rPr>
          <w:lang w:val="uk-UA"/>
        </w:rPr>
        <w:t xml:space="preserve">11 </w:t>
      </w:r>
      <w:r w:rsidR="00CD4EA1">
        <w:rPr>
          <w:lang w:val="uk-UA"/>
        </w:rPr>
        <w:t>пункту 44 Особливостей</w:t>
      </w:r>
      <w:r w:rsidR="00575328">
        <w:rPr>
          <w:lang w:val="uk-UA"/>
        </w:rPr>
        <w:t>, шляхом оприлюднення її в електроній системі закпівель</w:t>
      </w:r>
      <w:r w:rsidR="00C23618">
        <w:rPr>
          <w:lang w:val="uk-UA"/>
        </w:rPr>
        <w:t>.</w:t>
      </w: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Default="00EA623B" w:rsidP="00EA623B">
      <w:pPr>
        <w:suppressAutoHyphens/>
        <w:ind w:left="426" w:firstLine="283"/>
        <w:jc w:val="both"/>
        <w:rPr>
          <w:lang w:val="uk-UA"/>
        </w:rPr>
      </w:pPr>
    </w:p>
    <w:p w:rsidR="00EA623B" w:rsidRPr="00EA623B" w:rsidRDefault="00EA623B" w:rsidP="00EA623B">
      <w:pPr>
        <w:suppressAutoHyphens/>
        <w:ind w:left="426" w:firstLine="283"/>
        <w:jc w:val="both"/>
        <w:rPr>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lastRenderedPageBreak/>
        <w:t xml:space="preserve">ДОДАТОК </w:t>
      </w:r>
      <w:r w:rsidR="00EA623B">
        <w:rPr>
          <w:b/>
          <w:lang w:val="uk-UA"/>
        </w:rPr>
        <w:t>5</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19"/>
      <w:headerReference w:type="default" r:id="rId20"/>
      <w:footerReference w:type="even" r:id="rId21"/>
      <w:footerReference w:type="default" r:id="rId22"/>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31" w:rsidRDefault="00B35731">
      <w:r>
        <w:separator/>
      </w:r>
    </w:p>
  </w:endnote>
  <w:endnote w:type="continuationSeparator" w:id="0">
    <w:p w:rsidR="00B35731" w:rsidRDefault="00B3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5731" w:rsidRDefault="00B35731"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31" w:rsidRDefault="00B35731">
      <w:r>
        <w:separator/>
      </w:r>
    </w:p>
  </w:footnote>
  <w:footnote w:type="continuationSeparator" w:id="0">
    <w:p w:rsidR="00B35731" w:rsidRDefault="00B3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Default="00B35731"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B35731" w:rsidRDefault="00B3573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31" w:rsidRPr="00785EA9" w:rsidRDefault="00B35731"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D349ED">
      <w:rPr>
        <w:rStyle w:val="aa"/>
        <w:noProof/>
      </w:rPr>
      <w:t>21</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47F73"/>
    <w:rsid w:val="001508DF"/>
    <w:rsid w:val="00150C0E"/>
    <w:rsid w:val="00151117"/>
    <w:rsid w:val="0015184E"/>
    <w:rsid w:val="001519AA"/>
    <w:rsid w:val="001531E8"/>
    <w:rsid w:val="001531EC"/>
    <w:rsid w:val="00153CB4"/>
    <w:rsid w:val="00153D18"/>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5E72"/>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263"/>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2DF"/>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AB4"/>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3B6"/>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2FA"/>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3FA8"/>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43DE"/>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F9"/>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547"/>
    <w:rsid w:val="009825C3"/>
    <w:rsid w:val="009829B0"/>
    <w:rsid w:val="00982E52"/>
    <w:rsid w:val="00983301"/>
    <w:rsid w:val="00983F63"/>
    <w:rsid w:val="00985240"/>
    <w:rsid w:val="00985994"/>
    <w:rsid w:val="00985C1E"/>
    <w:rsid w:val="00985E7F"/>
    <w:rsid w:val="0098615E"/>
    <w:rsid w:val="0098616B"/>
    <w:rsid w:val="009863CD"/>
    <w:rsid w:val="009863E4"/>
    <w:rsid w:val="00986C5C"/>
    <w:rsid w:val="00986D93"/>
    <w:rsid w:val="00987A42"/>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57F4"/>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04AE"/>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708"/>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5731"/>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0722"/>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4EA1"/>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9ED"/>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23B"/>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DA2"/>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15B"/>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DC2"/>
    <w:rsid w:val="00FC601F"/>
    <w:rsid w:val="00FC63D1"/>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3A907B40"/>
  <w15:docId w15:val="{25B14FA8-4FAF-46A8-BA7F-8F63EC85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kap.minjust.gov.ua/services"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D9C2-0BA0-42B4-B833-C90F582E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45198</Words>
  <Characters>25764</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70821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2023-03-20T15:25:00Z</cp:lastPrinted>
  <dcterms:created xsi:type="dcterms:W3CDTF">2023-03-20T15:32:00Z</dcterms:created>
  <dcterms:modified xsi:type="dcterms:W3CDTF">2023-03-20T15:32:00Z</dcterms:modified>
</cp:coreProperties>
</file>