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17776E" w:rsidP="00924688">
      <w:pPr>
        <w:shd w:val="clear" w:color="auto" w:fill="FFFFFF"/>
        <w:jc w:val="center"/>
        <w:rPr>
          <w:spacing w:val="-6"/>
          <w:sz w:val="20"/>
          <w:szCs w:val="20"/>
        </w:rPr>
      </w:pPr>
      <w:r>
        <w:rPr>
          <w:b/>
          <w:bCs/>
          <w:spacing w:val="-6"/>
          <w:sz w:val="20"/>
          <w:szCs w:val="20"/>
        </w:rPr>
        <w:t>ДОГОВ</w:t>
      </w:r>
      <w:r w:rsidR="00924688">
        <w:rPr>
          <w:b/>
          <w:bCs/>
          <w:spacing w:val="-6"/>
          <w:sz w:val="20"/>
          <w:szCs w:val="20"/>
        </w:rPr>
        <w:t>ІР</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6514D1" w:rsidP="00CF2A83">
      <w:pPr>
        <w:jc w:val="both"/>
        <w:rPr>
          <w:sz w:val="20"/>
          <w:szCs w:val="20"/>
        </w:rPr>
      </w:pPr>
      <w:r>
        <w:rPr>
          <w:b/>
          <w:sz w:val="20"/>
          <w:szCs w:val="20"/>
        </w:rPr>
        <w:t xml:space="preserve"> </w:t>
      </w:r>
      <w:r w:rsidR="003F7842">
        <w:rPr>
          <w:b/>
          <w:sz w:val="20"/>
          <w:szCs w:val="20"/>
        </w:rPr>
        <w:t xml:space="preserve">ПОКУПЕЦЬ: </w:t>
      </w:r>
      <w:r w:rsidR="004978DC" w:rsidRPr="003F7842">
        <w:rPr>
          <w:sz w:val="20"/>
          <w:szCs w:val="20"/>
        </w:rPr>
        <w:t>Військова частина А1</w:t>
      </w:r>
      <w:r w:rsidR="004E73E0" w:rsidRPr="003F7842">
        <w:rPr>
          <w:sz w:val="20"/>
          <w:szCs w:val="20"/>
        </w:rPr>
        <w:t>214</w:t>
      </w:r>
      <w:r w:rsidR="003F7842" w:rsidRPr="003F7842">
        <w:rPr>
          <w:sz w:val="20"/>
          <w:szCs w:val="20"/>
        </w:rPr>
        <w:t>, іменована в подальшому</w:t>
      </w:r>
      <w:r w:rsidR="003F7842">
        <w:rPr>
          <w:sz w:val="20"/>
          <w:szCs w:val="20"/>
        </w:rPr>
        <w:t xml:space="preserve"> «</w:t>
      </w:r>
      <w:r w:rsidR="003F7842" w:rsidRPr="003F7842">
        <w:rPr>
          <w:sz w:val="20"/>
          <w:szCs w:val="20"/>
        </w:rPr>
        <w:t xml:space="preserve"> Покупець</w:t>
      </w:r>
      <w:r w:rsidR="003F7842">
        <w:rPr>
          <w:sz w:val="20"/>
          <w:szCs w:val="20"/>
        </w:rPr>
        <w:t>»</w:t>
      </w:r>
      <w:r w:rsidR="003F7842" w:rsidRPr="003F7842">
        <w:rPr>
          <w:sz w:val="20"/>
          <w:szCs w:val="20"/>
        </w:rPr>
        <w:t>, в особі кома</w:t>
      </w:r>
      <w:r w:rsidR="006E4DE3">
        <w:rPr>
          <w:sz w:val="20"/>
          <w:szCs w:val="20"/>
        </w:rPr>
        <w:t>ндира військової частини А1214 _________________________________________________________</w:t>
      </w:r>
      <w:r w:rsidR="003F7842" w:rsidRPr="003F7842">
        <w:rPr>
          <w:sz w:val="20"/>
          <w:szCs w:val="20"/>
        </w:rPr>
        <w:t>,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2B5C81" w:rsidRDefault="004978DC" w:rsidP="002B5C81">
      <w:pPr>
        <w:widowControl w:val="0"/>
        <w:rPr>
          <w:b/>
          <w:sz w:val="20"/>
          <w:szCs w:val="20"/>
          <w:lang w:eastAsia="en-US"/>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E00D83" w:rsidRPr="00E00D83">
        <w:t xml:space="preserve"> </w:t>
      </w:r>
      <w:r w:rsidR="005369A8" w:rsidRPr="00E00D83">
        <w:rPr>
          <w:b/>
          <w:sz w:val="20"/>
          <w:szCs w:val="20"/>
        </w:rPr>
        <w:t xml:space="preserve"> </w:t>
      </w:r>
      <w:r w:rsidR="008E35B0">
        <w:rPr>
          <w:b/>
          <w:sz w:val="20"/>
          <w:szCs w:val="20"/>
        </w:rPr>
        <w:t xml:space="preserve">будівельні </w:t>
      </w:r>
      <w:r w:rsidR="008E35B0" w:rsidRPr="00D03692">
        <w:rPr>
          <w:b/>
          <w:sz w:val="20"/>
          <w:szCs w:val="20"/>
        </w:rPr>
        <w:t xml:space="preserve">матеріали </w:t>
      </w:r>
      <w:r w:rsidR="002B5C81" w:rsidRPr="00D03692">
        <w:rPr>
          <w:b/>
          <w:sz w:val="20"/>
          <w:szCs w:val="20"/>
          <w:lang w:eastAsia="en-US"/>
        </w:rPr>
        <w:t>(</w:t>
      </w:r>
      <w:r w:rsidR="00D03692" w:rsidRPr="00D03692">
        <w:rPr>
          <w:b/>
          <w:sz w:val="20"/>
          <w:szCs w:val="20"/>
        </w:rPr>
        <w:t xml:space="preserve"> а</w:t>
      </w:r>
      <w:r w:rsidR="00D03692" w:rsidRPr="00D03692">
        <w:rPr>
          <w:b/>
          <w:sz w:val="20"/>
          <w:szCs w:val="20"/>
        </w:rPr>
        <w:t>люмінієвий кут перфорований</w:t>
      </w:r>
      <w:r w:rsidR="00D03692" w:rsidRPr="00D03692">
        <w:rPr>
          <w:b/>
          <w:sz w:val="20"/>
          <w:szCs w:val="20"/>
        </w:rPr>
        <w:t>, а</w:t>
      </w:r>
      <w:r w:rsidR="00D03692" w:rsidRPr="00D03692">
        <w:rPr>
          <w:b/>
          <w:sz w:val="20"/>
          <w:szCs w:val="20"/>
        </w:rPr>
        <w:t>нкерний підвіс</w:t>
      </w:r>
      <w:r w:rsidR="00D03692" w:rsidRPr="00D03692">
        <w:rPr>
          <w:b/>
          <w:sz w:val="20"/>
          <w:szCs w:val="20"/>
        </w:rPr>
        <w:t>)</w:t>
      </w:r>
      <w:r w:rsidR="00D03692" w:rsidRPr="00D03692">
        <w:t xml:space="preserve"> </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5B5FB6" w:rsidRPr="002B5C81" w:rsidRDefault="004978DC" w:rsidP="005B5FB6">
      <w:pPr>
        <w:widowControl w:val="0"/>
        <w:rPr>
          <w:b/>
          <w:color w:val="FFFFFF" w:themeColor="background1"/>
          <w:sz w:val="20"/>
          <w:szCs w:val="20"/>
          <w:lang w:eastAsia="en-US"/>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21780B">
        <w:rPr>
          <w:b/>
          <w:spacing w:val="-6"/>
          <w:sz w:val="20"/>
          <w:szCs w:val="20"/>
        </w:rPr>
        <w:t>ДК: 021:</w:t>
      </w:r>
      <w:r w:rsidR="00D70FC8" w:rsidRPr="00921A91">
        <w:rPr>
          <w:b/>
          <w:spacing w:val="-6"/>
          <w:sz w:val="20"/>
          <w:szCs w:val="20"/>
        </w:rPr>
        <w:t>2015</w:t>
      </w:r>
      <w:r w:rsidR="00D03692">
        <w:rPr>
          <w:b/>
          <w:spacing w:val="-6"/>
          <w:sz w:val="20"/>
          <w:szCs w:val="20"/>
        </w:rPr>
        <w:t>-</w:t>
      </w:r>
      <w:r w:rsidR="00F4168C" w:rsidRPr="00921A91">
        <w:rPr>
          <w:b/>
          <w:spacing w:val="-6"/>
          <w:sz w:val="20"/>
          <w:szCs w:val="20"/>
        </w:rPr>
        <w:t xml:space="preserve"> </w:t>
      </w:r>
      <w:r w:rsidR="00D03692">
        <w:rPr>
          <w:b/>
          <w:color w:val="1F1F1F"/>
          <w:sz w:val="20"/>
          <w:szCs w:val="20"/>
          <w:shd w:val="clear" w:color="auto" w:fill="FFFFFF"/>
        </w:rPr>
        <w:t>44110000-4  «Конструкційні матеріали»</w:t>
      </w:r>
    </w:p>
    <w:p w:rsidR="005B5FB6" w:rsidRPr="005B5FB6" w:rsidRDefault="005B5FB6" w:rsidP="005B5FB6">
      <w:pPr>
        <w:widowControl w:val="0"/>
        <w:rPr>
          <w:b/>
          <w:sz w:val="20"/>
          <w:szCs w:val="20"/>
          <w:lang w:eastAsia="en-US"/>
        </w:rPr>
      </w:pPr>
    </w:p>
    <w:p w:rsidR="00924688" w:rsidRPr="00B40DBA" w:rsidRDefault="00924688" w:rsidP="00924688">
      <w:pPr>
        <w:widowControl w:val="0"/>
        <w:rPr>
          <w:rFonts w:eastAsia="Calibri"/>
          <w:b/>
          <w:color w:val="000000"/>
          <w:sz w:val="20"/>
          <w:szCs w:val="20"/>
          <w:lang w:eastAsia="en-US"/>
        </w:rPr>
      </w:pPr>
    </w:p>
    <w:p w:rsidR="004978DC" w:rsidRPr="00336DDF" w:rsidRDefault="004978DC" w:rsidP="00924688">
      <w:pPr>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8E35B0">
        <w:rPr>
          <w:spacing w:val="8"/>
          <w:sz w:val="20"/>
          <w:szCs w:val="20"/>
        </w:rPr>
        <w:t xml:space="preserve"> 2101020/35</w:t>
      </w:r>
      <w:r w:rsidR="00166580">
        <w:rPr>
          <w:spacing w:val="8"/>
          <w:sz w:val="20"/>
          <w:szCs w:val="20"/>
        </w:rPr>
        <w:t>/1</w:t>
      </w:r>
      <w:r w:rsidR="002A0396" w:rsidRPr="00EB67B4">
        <w:rPr>
          <w:spacing w:val="8"/>
          <w:sz w:val="20"/>
          <w:szCs w:val="20"/>
        </w:rPr>
        <w:t xml:space="preserve">, </w:t>
      </w:r>
      <w:r w:rsidRPr="00EB67B4">
        <w:rPr>
          <w:spacing w:val="8"/>
          <w:sz w:val="20"/>
          <w:szCs w:val="20"/>
        </w:rPr>
        <w:t xml:space="preserve"> КЕКВ </w:t>
      </w:r>
      <w:r w:rsidR="008E35B0">
        <w:rPr>
          <w:spacing w:val="8"/>
          <w:sz w:val="20"/>
          <w:szCs w:val="20"/>
        </w:rPr>
        <w:t>2210</w:t>
      </w:r>
      <w:r w:rsidR="002A0396" w:rsidRPr="00EB67B4">
        <w:rPr>
          <w:spacing w:val="8"/>
          <w:sz w:val="20"/>
          <w:szCs w:val="20"/>
        </w:rPr>
        <w:t>,</w:t>
      </w:r>
      <w:r w:rsidR="00F242C3">
        <w:rPr>
          <w:spacing w:val="8"/>
          <w:sz w:val="20"/>
          <w:szCs w:val="20"/>
        </w:rPr>
        <w:t xml:space="preserve"> код видаткі</w:t>
      </w:r>
      <w:r w:rsidR="008E35B0">
        <w:rPr>
          <w:spacing w:val="8"/>
          <w:sz w:val="20"/>
          <w:szCs w:val="20"/>
        </w:rPr>
        <w:t>в 06</w:t>
      </w:r>
      <w:r w:rsidR="005C71D1">
        <w:rPr>
          <w:spacing w:val="8"/>
          <w:sz w:val="20"/>
          <w:szCs w:val="20"/>
        </w:rPr>
        <w:t>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924688">
        <w:rPr>
          <w:rFonts w:eastAsia="Calibri"/>
          <w:sz w:val="20"/>
          <w:szCs w:val="20"/>
          <w:lang w:eastAsia="en-US"/>
        </w:rPr>
        <w:t xml:space="preserve"> 30  червня </w:t>
      </w:r>
      <w:r w:rsidR="006D0BCB">
        <w:rPr>
          <w:rFonts w:eastAsia="Calibri"/>
          <w:sz w:val="20"/>
          <w:szCs w:val="20"/>
          <w:lang w:eastAsia="en-US"/>
        </w:rPr>
        <w:t xml:space="preserve">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lastRenderedPageBreak/>
        <w:t xml:space="preserve">Договір набирає чинності з дати його підписання Сторонами </w:t>
      </w:r>
      <w:r w:rsidR="006E4DE3">
        <w:rPr>
          <w:sz w:val="20"/>
          <w:szCs w:val="20"/>
        </w:rPr>
        <w:t>і діє до 31.07</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924688">
              <w:rPr>
                <w:sz w:val="22"/>
                <w:szCs w:val="22"/>
                <w:lang w:val="uk-UA"/>
              </w:rPr>
              <w:t xml:space="preserve"> </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4943" w:type="pct"/>
        <w:tblInd w:w="-34" w:type="dxa"/>
        <w:tblLayout w:type="fixed"/>
        <w:tblLook w:val="04A0" w:firstRow="1" w:lastRow="0" w:firstColumn="1" w:lastColumn="0" w:noHBand="0" w:noVBand="1"/>
      </w:tblPr>
      <w:tblGrid>
        <w:gridCol w:w="417"/>
        <w:gridCol w:w="4128"/>
        <w:gridCol w:w="1449"/>
        <w:gridCol w:w="669"/>
        <w:gridCol w:w="728"/>
        <w:gridCol w:w="1305"/>
        <w:gridCol w:w="6"/>
        <w:gridCol w:w="1314"/>
        <w:gridCol w:w="6"/>
      </w:tblGrid>
      <w:tr w:rsidR="00CF2A83" w:rsidRPr="00085D23" w:rsidTr="00D40C65">
        <w:trPr>
          <w:gridAfter w:val="1"/>
          <w:wAfter w:w="6" w:type="dxa"/>
          <w:trHeight w:val="862"/>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66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B40DBA" w:rsidRPr="004365EA" w:rsidTr="00D40C65">
        <w:trPr>
          <w:gridAfter w:val="1"/>
          <w:wAfter w:w="6" w:type="dxa"/>
          <w:trHeight w:val="545"/>
        </w:trPr>
        <w:tc>
          <w:tcPr>
            <w:tcW w:w="417" w:type="dxa"/>
            <w:tcBorders>
              <w:top w:val="nil"/>
              <w:left w:val="single" w:sz="4" w:space="0" w:color="auto"/>
              <w:bottom w:val="single" w:sz="4" w:space="0" w:color="auto"/>
              <w:right w:val="single" w:sz="4" w:space="0" w:color="auto"/>
            </w:tcBorders>
            <w:shd w:val="clear" w:color="auto" w:fill="auto"/>
            <w:noWrap/>
            <w:vAlign w:val="center"/>
          </w:tcPr>
          <w:p w:rsidR="00B40DBA" w:rsidRPr="004365EA" w:rsidRDefault="00B40DBA" w:rsidP="00B40DB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B40DBA" w:rsidRPr="00C70E5D" w:rsidRDefault="00D03692" w:rsidP="00B40DBA">
            <w:pPr>
              <w:jc w:val="both"/>
            </w:pPr>
            <w:r w:rsidRPr="00D03692">
              <w:t xml:space="preserve">Алюмінієвий кут перфорований </w:t>
            </w:r>
            <w:r w:rsidRPr="00D03692">
              <w:rPr>
                <w:lang w:val="ru-RU"/>
              </w:rPr>
              <w:t xml:space="preserve">20*20 </w:t>
            </w:r>
            <w:r w:rsidRPr="00D03692">
              <w:t>2,5м</w:t>
            </w:r>
          </w:p>
        </w:tc>
        <w:tc>
          <w:tcPr>
            <w:tcW w:w="1449" w:type="dxa"/>
            <w:tcBorders>
              <w:top w:val="nil"/>
              <w:left w:val="nil"/>
              <w:bottom w:val="single" w:sz="4" w:space="0" w:color="auto"/>
              <w:right w:val="single" w:sz="4" w:space="0" w:color="auto"/>
            </w:tcBorders>
            <w:shd w:val="clear" w:color="auto" w:fill="auto"/>
            <w:vAlign w:val="center"/>
          </w:tcPr>
          <w:p w:rsidR="00B40DBA" w:rsidRPr="004365EA" w:rsidRDefault="00D03692" w:rsidP="00B40DBA">
            <w:pPr>
              <w:suppressAutoHyphens/>
              <w:rPr>
                <w:rFonts w:eastAsia="Calibri"/>
                <w:color w:val="000000"/>
                <w:lang w:eastAsia="en-US"/>
              </w:rPr>
            </w:pPr>
            <w:r>
              <w:rPr>
                <w:rFonts w:eastAsia="Calibri"/>
                <w:color w:val="000000"/>
                <w:lang w:eastAsia="en-US"/>
              </w:rPr>
              <w:t>44110000-4</w:t>
            </w:r>
          </w:p>
        </w:tc>
        <w:tc>
          <w:tcPr>
            <w:tcW w:w="669" w:type="dxa"/>
            <w:tcBorders>
              <w:top w:val="nil"/>
              <w:left w:val="nil"/>
              <w:bottom w:val="single" w:sz="4" w:space="0" w:color="auto"/>
              <w:right w:val="single" w:sz="4" w:space="0" w:color="auto"/>
            </w:tcBorders>
            <w:shd w:val="clear" w:color="auto" w:fill="auto"/>
            <w:vAlign w:val="center"/>
          </w:tcPr>
          <w:p w:rsidR="00B40DBA" w:rsidRPr="00CF2A83" w:rsidRDefault="002B5C81" w:rsidP="00B40DBA">
            <w:pPr>
              <w:rPr>
                <w:rFonts w:eastAsia="Calibri"/>
                <w:color w:val="000000"/>
                <w:lang w:eastAsia="en-US"/>
              </w:rPr>
            </w:pPr>
            <w:r>
              <w:rPr>
                <w:rFonts w:eastAsia="Calibri"/>
                <w:color w:val="000000"/>
                <w:lang w:eastAsia="en-US"/>
              </w:rPr>
              <w:t xml:space="preserve">  шт</w:t>
            </w:r>
            <w:r w:rsidR="00B84979">
              <w:rPr>
                <w:rFonts w:eastAsia="Calibri"/>
                <w:color w:val="000000"/>
                <w:lang w:eastAsia="en-US"/>
              </w:rPr>
              <w:t>.</w:t>
            </w:r>
          </w:p>
        </w:tc>
        <w:tc>
          <w:tcPr>
            <w:tcW w:w="728" w:type="dxa"/>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00D40C65">
              <w:rPr>
                <w:rFonts w:eastAsia="Calibri"/>
                <w:color w:val="000000"/>
                <w:lang w:eastAsia="en-US"/>
              </w:rPr>
              <w:t xml:space="preserve">   </w:t>
            </w:r>
            <w:r w:rsidR="00B84979">
              <w:rPr>
                <w:rFonts w:eastAsia="Calibri"/>
                <w:color w:val="000000"/>
                <w:lang w:eastAsia="en-US"/>
              </w:rPr>
              <w:t>2</w:t>
            </w:r>
            <w:r w:rsidR="00D03692">
              <w:rPr>
                <w:rFonts w:eastAsia="Calibri"/>
                <w:color w:val="000000"/>
                <w:lang w:eastAsia="en-US"/>
              </w:rPr>
              <w:t>00</w:t>
            </w:r>
          </w:p>
        </w:tc>
        <w:tc>
          <w:tcPr>
            <w:tcW w:w="1305" w:type="dxa"/>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jc w:val="center"/>
              <w:rPr>
                <w:rFonts w:eastAsia="Calibri"/>
                <w:color w:val="000000"/>
                <w:lang w:eastAsia="en-US"/>
              </w:rPr>
            </w:pPr>
          </w:p>
        </w:tc>
        <w:tc>
          <w:tcPr>
            <w:tcW w:w="1320" w:type="dxa"/>
            <w:gridSpan w:val="2"/>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jc w:val="center"/>
              <w:rPr>
                <w:rFonts w:eastAsia="Calibri"/>
                <w:color w:val="000000"/>
                <w:lang w:eastAsia="en-US"/>
              </w:rPr>
            </w:pPr>
          </w:p>
        </w:tc>
      </w:tr>
      <w:tr w:rsidR="00B84979" w:rsidRPr="004365EA" w:rsidTr="00D40C65">
        <w:trPr>
          <w:gridAfter w:val="1"/>
          <w:wAfter w:w="6" w:type="dxa"/>
          <w:trHeight w:val="545"/>
        </w:trPr>
        <w:tc>
          <w:tcPr>
            <w:tcW w:w="417" w:type="dxa"/>
            <w:tcBorders>
              <w:top w:val="nil"/>
              <w:left w:val="single" w:sz="4" w:space="0" w:color="auto"/>
              <w:bottom w:val="single" w:sz="4" w:space="0" w:color="auto"/>
              <w:right w:val="single" w:sz="4" w:space="0" w:color="auto"/>
            </w:tcBorders>
            <w:shd w:val="clear" w:color="auto" w:fill="auto"/>
            <w:noWrap/>
            <w:vAlign w:val="center"/>
          </w:tcPr>
          <w:p w:rsidR="00B84979" w:rsidRPr="004365EA" w:rsidRDefault="00B84979" w:rsidP="00B84979">
            <w:pPr>
              <w:suppressAutoHyphens/>
              <w:jc w:val="center"/>
              <w:rPr>
                <w:color w:val="000000"/>
                <w:lang w:eastAsia="zh-CN"/>
              </w:rPr>
            </w:pPr>
            <w:r>
              <w:rPr>
                <w:color w:val="000000"/>
                <w:lang w:eastAsia="zh-CN"/>
              </w:rPr>
              <w:t>2</w:t>
            </w:r>
          </w:p>
        </w:tc>
        <w:tc>
          <w:tcPr>
            <w:tcW w:w="4128" w:type="dxa"/>
            <w:tcBorders>
              <w:top w:val="nil"/>
              <w:left w:val="nil"/>
              <w:bottom w:val="single" w:sz="4" w:space="0" w:color="auto"/>
              <w:right w:val="single" w:sz="4" w:space="0" w:color="auto"/>
            </w:tcBorders>
            <w:shd w:val="clear" w:color="auto" w:fill="auto"/>
            <w:vAlign w:val="center"/>
          </w:tcPr>
          <w:p w:rsidR="00B84979" w:rsidRPr="00792382" w:rsidRDefault="00D03692" w:rsidP="00B84979">
            <w:r w:rsidRPr="00D03692">
              <w:t>Анкерний підвіс</w:t>
            </w:r>
          </w:p>
        </w:tc>
        <w:tc>
          <w:tcPr>
            <w:tcW w:w="1449" w:type="dxa"/>
            <w:tcBorders>
              <w:top w:val="nil"/>
              <w:left w:val="nil"/>
              <w:bottom w:val="single" w:sz="4" w:space="0" w:color="auto"/>
              <w:right w:val="single" w:sz="4" w:space="0" w:color="auto"/>
            </w:tcBorders>
            <w:shd w:val="clear" w:color="auto" w:fill="auto"/>
            <w:vAlign w:val="center"/>
          </w:tcPr>
          <w:p w:rsidR="00B84979" w:rsidRPr="004365EA" w:rsidRDefault="00D03692" w:rsidP="00B84979">
            <w:pPr>
              <w:suppressAutoHyphens/>
              <w:rPr>
                <w:rFonts w:eastAsia="Calibri"/>
                <w:color w:val="000000"/>
                <w:lang w:eastAsia="en-US"/>
              </w:rPr>
            </w:pPr>
            <w:r>
              <w:rPr>
                <w:rFonts w:eastAsia="Calibri"/>
                <w:color w:val="000000"/>
                <w:lang w:eastAsia="en-US"/>
              </w:rPr>
              <w:t>44110000-4</w:t>
            </w:r>
          </w:p>
        </w:tc>
        <w:tc>
          <w:tcPr>
            <w:tcW w:w="669" w:type="dxa"/>
            <w:tcBorders>
              <w:top w:val="nil"/>
              <w:left w:val="nil"/>
              <w:bottom w:val="single" w:sz="4" w:space="0" w:color="auto"/>
              <w:right w:val="single" w:sz="4" w:space="0" w:color="auto"/>
            </w:tcBorders>
            <w:shd w:val="clear" w:color="auto" w:fill="auto"/>
            <w:vAlign w:val="center"/>
          </w:tcPr>
          <w:p w:rsidR="00B84979" w:rsidRPr="00CF2A83" w:rsidRDefault="00D40C65" w:rsidP="00B84979">
            <w:pPr>
              <w:rPr>
                <w:rFonts w:eastAsia="Calibri"/>
                <w:color w:val="000000"/>
                <w:lang w:eastAsia="en-US"/>
              </w:rPr>
            </w:pPr>
            <w:r>
              <w:rPr>
                <w:rFonts w:eastAsia="Calibri"/>
                <w:color w:val="000000"/>
                <w:lang w:eastAsia="en-US"/>
              </w:rPr>
              <w:t xml:space="preserve">  шт.     </w:t>
            </w:r>
            <w:r w:rsidR="00B84979">
              <w:rPr>
                <w:rFonts w:eastAsia="Calibri"/>
                <w:color w:val="000000"/>
                <w:lang w:eastAsia="en-US"/>
              </w:rPr>
              <w:t xml:space="preserve">    </w:t>
            </w:r>
          </w:p>
        </w:tc>
        <w:tc>
          <w:tcPr>
            <w:tcW w:w="728" w:type="dxa"/>
            <w:tcBorders>
              <w:top w:val="nil"/>
              <w:left w:val="nil"/>
              <w:bottom w:val="single" w:sz="4" w:space="0" w:color="auto"/>
              <w:right w:val="single" w:sz="4" w:space="0" w:color="auto"/>
            </w:tcBorders>
            <w:shd w:val="clear" w:color="auto" w:fill="auto"/>
            <w:noWrap/>
            <w:vAlign w:val="center"/>
          </w:tcPr>
          <w:p w:rsidR="00B84979" w:rsidRDefault="00D03692" w:rsidP="00B84979">
            <w:pPr>
              <w:spacing w:line="259" w:lineRule="auto"/>
              <w:rPr>
                <w:rFonts w:eastAsia="Calibri"/>
                <w:color w:val="000000"/>
                <w:lang w:eastAsia="en-US"/>
              </w:rPr>
            </w:pPr>
            <w:r>
              <w:rPr>
                <w:rFonts w:eastAsia="Calibri"/>
                <w:color w:val="000000"/>
                <w:lang w:eastAsia="en-US"/>
              </w:rPr>
              <w:t>240</w:t>
            </w:r>
          </w:p>
        </w:tc>
        <w:tc>
          <w:tcPr>
            <w:tcW w:w="1305" w:type="dxa"/>
            <w:tcBorders>
              <w:top w:val="nil"/>
              <w:left w:val="nil"/>
              <w:bottom w:val="single" w:sz="4" w:space="0" w:color="auto"/>
              <w:right w:val="single" w:sz="4" w:space="0" w:color="auto"/>
            </w:tcBorders>
            <w:shd w:val="clear" w:color="auto" w:fill="auto"/>
            <w:noWrap/>
            <w:vAlign w:val="center"/>
          </w:tcPr>
          <w:p w:rsidR="00B84979" w:rsidRPr="004365EA" w:rsidRDefault="00B84979" w:rsidP="00B84979">
            <w:pPr>
              <w:spacing w:line="259" w:lineRule="auto"/>
              <w:jc w:val="center"/>
              <w:rPr>
                <w:rFonts w:eastAsia="Calibri"/>
                <w:color w:val="000000"/>
                <w:lang w:eastAsia="en-US"/>
              </w:rPr>
            </w:pPr>
          </w:p>
        </w:tc>
        <w:tc>
          <w:tcPr>
            <w:tcW w:w="1320" w:type="dxa"/>
            <w:gridSpan w:val="2"/>
            <w:tcBorders>
              <w:top w:val="nil"/>
              <w:left w:val="nil"/>
              <w:bottom w:val="single" w:sz="4" w:space="0" w:color="auto"/>
              <w:right w:val="single" w:sz="4" w:space="0" w:color="auto"/>
            </w:tcBorders>
            <w:shd w:val="clear" w:color="auto" w:fill="auto"/>
            <w:noWrap/>
            <w:vAlign w:val="center"/>
          </w:tcPr>
          <w:p w:rsidR="00B84979" w:rsidRPr="004365EA" w:rsidRDefault="00B84979" w:rsidP="00B84979">
            <w:pPr>
              <w:spacing w:line="259" w:lineRule="auto"/>
              <w:jc w:val="center"/>
              <w:rPr>
                <w:rFonts w:eastAsia="Calibri"/>
                <w:color w:val="000000"/>
                <w:lang w:eastAsia="en-US"/>
              </w:rPr>
            </w:pPr>
          </w:p>
        </w:tc>
      </w:tr>
      <w:tr w:rsidR="00B84979" w:rsidRPr="004365EA" w:rsidTr="00D40C65">
        <w:trPr>
          <w:trHeight w:val="311"/>
        </w:trPr>
        <w:tc>
          <w:tcPr>
            <w:tcW w:w="87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84979" w:rsidRPr="004365EA" w:rsidRDefault="00B84979" w:rsidP="00B84979">
            <w:pPr>
              <w:spacing w:line="259" w:lineRule="auto"/>
              <w:rPr>
                <w:rFonts w:eastAsia="Calibri"/>
                <w:color w:val="000000"/>
                <w:lang w:eastAsia="en-US"/>
              </w:rPr>
            </w:pPr>
            <w:r w:rsidRPr="004365EA">
              <w:rPr>
                <w:b/>
                <w:lang w:eastAsia="uk-UA"/>
              </w:rPr>
              <w:t>Всього:</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B84979" w:rsidRPr="004365EA" w:rsidRDefault="00B84979" w:rsidP="00B84979">
            <w:pPr>
              <w:spacing w:line="259" w:lineRule="auto"/>
              <w:jc w:val="center"/>
              <w:rPr>
                <w:rFonts w:eastAsia="Calibri"/>
                <w:color w:val="000000"/>
                <w:lang w:eastAsia="en-US"/>
              </w:rPr>
            </w:pPr>
          </w:p>
        </w:tc>
      </w:tr>
    </w:tbl>
    <w:p w:rsidR="005C71D1" w:rsidRDefault="005C71D1" w:rsidP="00CF2A83">
      <w:pPr>
        <w:jc w:val="both"/>
      </w:pPr>
    </w:p>
    <w:p w:rsidR="00CF2A83" w:rsidRDefault="005801A8" w:rsidP="00CF2A83">
      <w:pPr>
        <w:jc w:val="both"/>
      </w:pPr>
      <w:r>
        <w:t>Всього ____________(прописом)_____________грн._____коп.</w:t>
      </w:r>
      <w:r w:rsidR="00FB5999">
        <w:t xml:space="preserve"> з ПДВ</w:t>
      </w:r>
    </w:p>
    <w:p w:rsidR="00FB5999" w:rsidRDefault="00FB5999" w:rsidP="00CF2A83">
      <w:pPr>
        <w:jc w:val="both"/>
      </w:pPr>
    </w:p>
    <w:p w:rsidR="005801A8" w:rsidRDefault="005801A8"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Default="00CF2A83" w:rsidP="00074D5A">
            <w:pPr>
              <w:tabs>
                <w:tab w:val="left" w:pos="477"/>
              </w:tabs>
            </w:pPr>
          </w:p>
          <w:p w:rsidR="00106923" w:rsidRDefault="00106923" w:rsidP="00074D5A">
            <w:pPr>
              <w:tabs>
                <w:tab w:val="left" w:pos="477"/>
              </w:tabs>
            </w:pPr>
          </w:p>
          <w:p w:rsidR="00106923" w:rsidRDefault="00106923" w:rsidP="00074D5A">
            <w:pPr>
              <w:tabs>
                <w:tab w:val="left" w:pos="477"/>
              </w:tabs>
            </w:pPr>
          </w:p>
          <w:p w:rsidR="00106923" w:rsidRPr="00ED3618" w:rsidRDefault="00106923" w:rsidP="00074D5A">
            <w:pPr>
              <w:tabs>
                <w:tab w:val="left" w:pos="477"/>
              </w:tabs>
            </w:pPr>
          </w:p>
          <w:p w:rsidR="00CF2A83" w:rsidRPr="00ED3618" w:rsidRDefault="00CF2A83" w:rsidP="00074D5A">
            <w:pPr>
              <w:rPr>
                <w:rStyle w:val="FontStyle78"/>
                <w:b/>
              </w:rPr>
            </w:pPr>
            <w:r w:rsidRPr="00ED3618">
              <w:t xml:space="preserve"> ______________</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bookmarkStart w:id="0" w:name="_GoBack"/>
            <w:bookmarkEnd w:id="0"/>
          </w:p>
          <w:p w:rsidR="00CF2A83" w:rsidRDefault="00CF2A83" w:rsidP="00074D5A"/>
          <w:p w:rsidR="00106923" w:rsidRDefault="00106923" w:rsidP="00074D5A"/>
          <w:p w:rsidR="00106923" w:rsidRDefault="00106923" w:rsidP="00074D5A"/>
          <w:p w:rsidR="00106923" w:rsidRDefault="00106923" w:rsidP="00074D5A"/>
          <w:p w:rsidR="00106923" w:rsidRPr="00ED3618" w:rsidRDefault="0010692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BF" w:rsidRDefault="003274BF">
      <w:r>
        <w:separator/>
      </w:r>
    </w:p>
  </w:endnote>
  <w:endnote w:type="continuationSeparator" w:id="0">
    <w:p w:rsidR="003274BF" w:rsidRDefault="0032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BF" w:rsidRDefault="003274BF">
      <w:r>
        <w:separator/>
      </w:r>
    </w:p>
  </w:footnote>
  <w:footnote w:type="continuationSeparator" w:id="0">
    <w:p w:rsidR="003274BF" w:rsidRDefault="0032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91803"/>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06923"/>
    <w:rsid w:val="00107BE8"/>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5C81"/>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59B6"/>
    <w:rsid w:val="0032722E"/>
    <w:rsid w:val="003274BF"/>
    <w:rsid w:val="00327B10"/>
    <w:rsid w:val="00336DDF"/>
    <w:rsid w:val="00337741"/>
    <w:rsid w:val="003414D0"/>
    <w:rsid w:val="0034191D"/>
    <w:rsid w:val="00342644"/>
    <w:rsid w:val="003443EE"/>
    <w:rsid w:val="00346DF1"/>
    <w:rsid w:val="003522E2"/>
    <w:rsid w:val="0035740D"/>
    <w:rsid w:val="00362504"/>
    <w:rsid w:val="00362CF5"/>
    <w:rsid w:val="00366C44"/>
    <w:rsid w:val="00366F7B"/>
    <w:rsid w:val="0037243B"/>
    <w:rsid w:val="00374A00"/>
    <w:rsid w:val="00380681"/>
    <w:rsid w:val="003806BD"/>
    <w:rsid w:val="003905B7"/>
    <w:rsid w:val="00391AAC"/>
    <w:rsid w:val="00393B65"/>
    <w:rsid w:val="003A0B4B"/>
    <w:rsid w:val="003B2253"/>
    <w:rsid w:val="003C15F6"/>
    <w:rsid w:val="003C1928"/>
    <w:rsid w:val="003C1DF7"/>
    <w:rsid w:val="003C6925"/>
    <w:rsid w:val="003C749C"/>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09BF"/>
    <w:rsid w:val="004D40EA"/>
    <w:rsid w:val="004D5C18"/>
    <w:rsid w:val="004D6400"/>
    <w:rsid w:val="004D7DE0"/>
    <w:rsid w:val="004E6284"/>
    <w:rsid w:val="004E73E0"/>
    <w:rsid w:val="004E7D0C"/>
    <w:rsid w:val="00503E48"/>
    <w:rsid w:val="00503F3F"/>
    <w:rsid w:val="005056A7"/>
    <w:rsid w:val="00512DCC"/>
    <w:rsid w:val="005144C2"/>
    <w:rsid w:val="00523811"/>
    <w:rsid w:val="00524F98"/>
    <w:rsid w:val="005369A8"/>
    <w:rsid w:val="00543CC2"/>
    <w:rsid w:val="005456D5"/>
    <w:rsid w:val="00551158"/>
    <w:rsid w:val="0055192B"/>
    <w:rsid w:val="00567A6F"/>
    <w:rsid w:val="00571527"/>
    <w:rsid w:val="0057487E"/>
    <w:rsid w:val="0057693E"/>
    <w:rsid w:val="00577AA2"/>
    <w:rsid w:val="005801A8"/>
    <w:rsid w:val="00592124"/>
    <w:rsid w:val="005941C9"/>
    <w:rsid w:val="005961C8"/>
    <w:rsid w:val="005A420E"/>
    <w:rsid w:val="005B15BD"/>
    <w:rsid w:val="005B523E"/>
    <w:rsid w:val="005B5FB6"/>
    <w:rsid w:val="005C1107"/>
    <w:rsid w:val="005C71D1"/>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14D1"/>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4DE3"/>
    <w:rsid w:val="006E598C"/>
    <w:rsid w:val="006F0A61"/>
    <w:rsid w:val="006F2FCE"/>
    <w:rsid w:val="00726E1B"/>
    <w:rsid w:val="007270B3"/>
    <w:rsid w:val="00727C0C"/>
    <w:rsid w:val="00735F05"/>
    <w:rsid w:val="00744A14"/>
    <w:rsid w:val="00760A70"/>
    <w:rsid w:val="0076478C"/>
    <w:rsid w:val="00772C58"/>
    <w:rsid w:val="00783DC0"/>
    <w:rsid w:val="00792382"/>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4AFB"/>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765D0"/>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E35B0"/>
    <w:rsid w:val="008F39C2"/>
    <w:rsid w:val="008F4ABA"/>
    <w:rsid w:val="008F5C6A"/>
    <w:rsid w:val="008F753A"/>
    <w:rsid w:val="00906C74"/>
    <w:rsid w:val="0091232B"/>
    <w:rsid w:val="00912C4C"/>
    <w:rsid w:val="00916608"/>
    <w:rsid w:val="00921A91"/>
    <w:rsid w:val="00923348"/>
    <w:rsid w:val="00923455"/>
    <w:rsid w:val="00924688"/>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E35E4"/>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4528D"/>
    <w:rsid w:val="00A51255"/>
    <w:rsid w:val="00A522DE"/>
    <w:rsid w:val="00A60DFA"/>
    <w:rsid w:val="00A60F92"/>
    <w:rsid w:val="00A734A5"/>
    <w:rsid w:val="00A73CEA"/>
    <w:rsid w:val="00A749CF"/>
    <w:rsid w:val="00A75875"/>
    <w:rsid w:val="00A7629D"/>
    <w:rsid w:val="00AA2447"/>
    <w:rsid w:val="00AA447D"/>
    <w:rsid w:val="00AA587E"/>
    <w:rsid w:val="00AA693E"/>
    <w:rsid w:val="00AA70B3"/>
    <w:rsid w:val="00AB00BF"/>
    <w:rsid w:val="00AB16DE"/>
    <w:rsid w:val="00AB47E8"/>
    <w:rsid w:val="00AB5D11"/>
    <w:rsid w:val="00AC6DBE"/>
    <w:rsid w:val="00AC75CC"/>
    <w:rsid w:val="00AD1B39"/>
    <w:rsid w:val="00AD2029"/>
    <w:rsid w:val="00AE6A73"/>
    <w:rsid w:val="00AE701A"/>
    <w:rsid w:val="00AF041B"/>
    <w:rsid w:val="00B03F12"/>
    <w:rsid w:val="00B10A1A"/>
    <w:rsid w:val="00B10AEA"/>
    <w:rsid w:val="00B21B91"/>
    <w:rsid w:val="00B22E40"/>
    <w:rsid w:val="00B30053"/>
    <w:rsid w:val="00B3308B"/>
    <w:rsid w:val="00B3430D"/>
    <w:rsid w:val="00B34EC7"/>
    <w:rsid w:val="00B35039"/>
    <w:rsid w:val="00B35210"/>
    <w:rsid w:val="00B36FC6"/>
    <w:rsid w:val="00B37A5F"/>
    <w:rsid w:val="00B40DBA"/>
    <w:rsid w:val="00B4249F"/>
    <w:rsid w:val="00B43DA0"/>
    <w:rsid w:val="00B531E9"/>
    <w:rsid w:val="00B639A4"/>
    <w:rsid w:val="00B703DC"/>
    <w:rsid w:val="00B77D75"/>
    <w:rsid w:val="00B83053"/>
    <w:rsid w:val="00B84979"/>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1716"/>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97A7C"/>
    <w:rsid w:val="00CA4272"/>
    <w:rsid w:val="00CB00F5"/>
    <w:rsid w:val="00CB4887"/>
    <w:rsid w:val="00CC4D31"/>
    <w:rsid w:val="00CC7DA1"/>
    <w:rsid w:val="00CD2E8A"/>
    <w:rsid w:val="00CD35AA"/>
    <w:rsid w:val="00CD4A8E"/>
    <w:rsid w:val="00CD4D34"/>
    <w:rsid w:val="00CD6B8B"/>
    <w:rsid w:val="00CE0EBF"/>
    <w:rsid w:val="00CF0B5B"/>
    <w:rsid w:val="00CF1740"/>
    <w:rsid w:val="00CF2A83"/>
    <w:rsid w:val="00CF3620"/>
    <w:rsid w:val="00CF64C7"/>
    <w:rsid w:val="00CF7A54"/>
    <w:rsid w:val="00D028C3"/>
    <w:rsid w:val="00D03692"/>
    <w:rsid w:val="00D05E88"/>
    <w:rsid w:val="00D07AD3"/>
    <w:rsid w:val="00D148D3"/>
    <w:rsid w:val="00D157A3"/>
    <w:rsid w:val="00D205D3"/>
    <w:rsid w:val="00D23EFC"/>
    <w:rsid w:val="00D269DC"/>
    <w:rsid w:val="00D40C65"/>
    <w:rsid w:val="00D464E9"/>
    <w:rsid w:val="00D47422"/>
    <w:rsid w:val="00D546C2"/>
    <w:rsid w:val="00D54AD7"/>
    <w:rsid w:val="00D56E6F"/>
    <w:rsid w:val="00D57AD9"/>
    <w:rsid w:val="00D6046B"/>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0D83"/>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5770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E49E6"/>
    <w:rsid w:val="00EF1934"/>
    <w:rsid w:val="00EF5135"/>
    <w:rsid w:val="00F242C3"/>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1391"/>
    <w:rsid w:val="00F9363B"/>
    <w:rsid w:val="00FA50BC"/>
    <w:rsid w:val="00FA70FD"/>
    <w:rsid w:val="00FB3E53"/>
    <w:rsid w:val="00FB5999"/>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59AC1"/>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 w:type="character" w:styleId="af1">
    <w:name w:val="Hyperlink"/>
    <w:basedOn w:val="a0"/>
    <w:uiPriority w:val="99"/>
    <w:semiHidden/>
    <w:unhideWhenUsed/>
    <w:rsid w:val="008E3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1784-DA16-4D91-8971-591EE4C8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5</Pages>
  <Words>8004</Words>
  <Characters>4563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170</cp:revision>
  <cp:lastPrinted>2024-04-17T11:18:00Z</cp:lastPrinted>
  <dcterms:created xsi:type="dcterms:W3CDTF">2022-09-29T13:41:00Z</dcterms:created>
  <dcterms:modified xsi:type="dcterms:W3CDTF">2024-04-29T19:05:00Z</dcterms:modified>
</cp:coreProperties>
</file>